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8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0.7pt;height:21.65pt;mso-position-horizontal-relative:char;mso-position-vertical-relative:line" coordorigin="0,0" coordsize="9814,433">
            <v:line style="position:absolute" from="4949,0" to="4949,388" stroked="true" strokeweight=".200012pt" strokecolor="#231f20">
              <v:stroke dashstyle="solid"/>
            </v:line>
            <v:line style="position:absolute" from="1,427" to="9809,427" stroked="true" strokeweight=".299988pt" strokecolor="#231f20">
              <v:stroke dashstyle="solid"/>
            </v:line>
            <v:shape style="position:absolute;left:0;top:46;width:997;height:387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 w:eastAsia="Times New Roman"/>
                        <w:color w:val="231F20"/>
                        <w:sz w:val="18"/>
                      </w:rPr>
                      <w:t>2019 </w:t>
                    </w:r>
                    <w:r>
                      <w:rPr>
                        <w:color w:val="231F20"/>
                        <w:sz w:val="18"/>
                      </w:rPr>
                      <w:t>年 </w:t>
                    </w:r>
                    <w:r>
                      <w:rPr>
                        <w:rFonts w:ascii="Times New Roman" w:eastAsia="Times New Roman"/>
                        <w:color w:val="231F20"/>
                        <w:sz w:val="18"/>
                      </w:rPr>
                      <w:t>5 </w:t>
                    </w:r>
                    <w:r>
                      <w:rPr>
                        <w:color w:val="231F20"/>
                        <w:sz w:val="18"/>
                      </w:rPr>
                      <w:t>月</w:t>
                    </w:r>
                  </w:p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第 </w:t>
                    </w:r>
                    <w:r>
                      <w:rPr>
                        <w:rFonts w:ascii="Times New Roman" w:eastAsia="Times New Roman"/>
                        <w:color w:val="231F20"/>
                        <w:sz w:val="18"/>
                      </w:rPr>
                      <w:t>14 </w:t>
                    </w:r>
                    <w:r>
                      <w:rPr>
                        <w:color w:val="231F20"/>
                        <w:sz w:val="18"/>
                      </w:rPr>
                      <w:t>期</w:t>
                    </w:r>
                  </w:p>
                </w:txbxContent>
              </v:textbox>
              <w10:wrap type="none"/>
            </v:shape>
            <v:shape style="position:absolute;left:3758;top:72;width:1096;height:333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44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31F20"/>
                        <w:w w:val="95"/>
                        <w:sz w:val="21"/>
                      </w:rPr>
                      <w:t>学周刊</w:t>
                    </w:r>
                  </w:p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color w:val="231F20"/>
                        <w:spacing w:val="3"/>
                        <w:w w:val="105"/>
                        <w:sz w:val="10"/>
                      </w:rPr>
                      <w:t>LEARNING</w:t>
                    </w:r>
                    <w:r>
                      <w:rPr>
                        <w:rFonts w:ascii="Times New Roman"/>
                        <w:color w:val="231F20"/>
                        <w:spacing w:val="1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4"/>
                        <w:w w:val="105"/>
                        <w:sz w:val="10"/>
                      </w:rPr>
                      <w:t>WEEKLY</w:t>
                    </w:r>
                  </w:p>
                </w:txbxContent>
              </v:textbox>
              <w10:wrap type="none"/>
            </v:shape>
            <v:shape style="position:absolute;left:5001;top:80;width:1278;height:315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231F20"/>
                        <w:sz w:val="31"/>
                      </w:rPr>
                      <w:t>教学研究</w:t>
                    </w:r>
                  </w:p>
                </w:txbxContent>
              </v:textbox>
              <w10:wrap type="none"/>
            </v:shape>
            <v:shape style="position:absolute;left:9019;top:46;width:795;height:387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pacing w:val="5"/>
                        <w:w w:val="95"/>
                        <w:sz w:val="18"/>
                      </w:rPr>
                      <w:t>May.2019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pacing w:val="-3"/>
                        <w:w w:val="95"/>
                        <w:sz w:val="18"/>
                      </w:rPr>
                      <w:t>Vol.14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spacing w:before="1"/>
        <w:ind w:left="1659" w:right="1570" w:firstLine="0"/>
        <w:jc w:val="center"/>
        <w:rPr>
          <w:sz w:val="39"/>
        </w:rPr>
      </w:pPr>
      <w:r>
        <w:rPr>
          <w:color w:val="231F20"/>
          <w:sz w:val="39"/>
        </w:rPr>
        <w:t>基于小学数学解方程知识的教学策略分析</w:t>
      </w:r>
    </w:p>
    <w:p>
      <w:pPr>
        <w:spacing w:before="43"/>
        <w:ind w:left="1655" w:right="1570" w:firstLine="0"/>
        <w:jc w:val="center"/>
        <w:rPr>
          <w:sz w:val="22"/>
        </w:rPr>
      </w:pPr>
      <w:r>
        <w:rPr>
          <w:color w:val="231F20"/>
          <w:w w:val="105"/>
          <w:sz w:val="22"/>
        </w:rPr>
        <w:t>廖丽才</w:t>
      </w:r>
    </w:p>
    <w:p>
      <w:pPr>
        <w:spacing w:before="67"/>
        <w:ind w:left="1647" w:right="1570" w:firstLine="0"/>
        <w:jc w:val="center"/>
        <w:rPr>
          <w:sz w:val="16"/>
        </w:rPr>
      </w:pPr>
      <w:r>
        <w:rPr>
          <w:color w:val="231F20"/>
          <w:sz w:val="16"/>
        </w:rPr>
        <w:t>（福建省龙岩市永定区高陂中心小学，福建 龙岩 </w:t>
      </w:r>
      <w:r>
        <w:rPr>
          <w:rFonts w:ascii="Times New Roman" w:eastAsia="Times New Roman"/>
          <w:color w:val="231F20"/>
          <w:sz w:val="16"/>
        </w:rPr>
        <w:t>364101</w:t>
      </w:r>
      <w:r>
        <w:rPr>
          <w:color w:val="231F20"/>
          <w:sz w:val="16"/>
        </w:rPr>
        <w:t>）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50" w:h="17180"/>
          <w:pgMar w:footer="715" w:top="1020" w:bottom="900" w:left="1020" w:right="940"/>
          <w:pgNumType w:start="54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3" w:lineRule="auto"/>
        <w:ind w:left="278" w:right="38" w:firstLine="349"/>
      </w:pPr>
      <w:r>
        <w:rPr>
          <w:color w:val="231F20"/>
          <w:spacing w:val="-14"/>
        </w:rPr>
        <w:t>摘 要：小学数学教学中简易方程可谓是极其重要的内容， 它直接影响学生日后的学习能力与方程的掌握情况。简易方程以天平的演示方式阐述了方程的基本性质，也提高了学生</w:t>
      </w:r>
      <w:r>
        <w:rPr>
          <w:color w:val="231F20"/>
          <w:spacing w:val="-18"/>
        </w:rPr>
        <w:t>的数学素养，使之与中学数学知识有效衔接，也为学生日后学</w:t>
      </w:r>
      <w:r>
        <w:rPr>
          <w:color w:val="231F20"/>
          <w:spacing w:val="-21"/>
        </w:rPr>
        <w:t>习打下良好基础。基于此，在教师教学过程中，要运用教学衔</w:t>
      </w:r>
      <w:r>
        <w:rPr>
          <w:color w:val="231F20"/>
          <w:spacing w:val="-19"/>
        </w:rPr>
        <w:t>接的方式，提高教学效果，并降低方程知识的难度，加强知识</w:t>
      </w:r>
      <w:r>
        <w:rPr>
          <w:color w:val="231F20"/>
          <w:spacing w:val="-22"/>
        </w:rPr>
        <w:t>整合，保证效率，同时又要注重交流，实现情感共融，从而提高学生的数学能力。</w:t>
      </w:r>
    </w:p>
    <w:p>
      <w:pPr>
        <w:pStyle w:val="BodyText"/>
        <w:tabs>
          <w:tab w:pos="2329" w:val="left" w:leader="none"/>
        </w:tabs>
        <w:spacing w:line="273" w:lineRule="auto"/>
        <w:ind w:left="635" w:right="1198"/>
        <w:rPr>
          <w:rFonts w:ascii="Times New Roman" w:eastAsia="Times New Roman"/>
        </w:rPr>
      </w:pPr>
      <w:r>
        <w:rPr>
          <w:color w:val="231F20"/>
          <w:w w:val="95"/>
        </w:rPr>
        <w:t>关键词</w:t>
      </w:r>
      <w:r>
        <w:rPr>
          <w:color w:val="231F20"/>
          <w:spacing w:val="-90"/>
          <w:w w:val="95"/>
        </w:rPr>
        <w:t>：</w:t>
      </w:r>
      <w:r>
        <w:rPr>
          <w:color w:val="231F20"/>
          <w:w w:val="95"/>
        </w:rPr>
        <w:t>小学</w:t>
      </w:r>
      <w:r>
        <w:rPr>
          <w:color w:val="231F20"/>
          <w:spacing w:val="-90"/>
          <w:w w:val="95"/>
        </w:rPr>
        <w:t>；</w:t>
      </w:r>
      <w:r>
        <w:rPr>
          <w:color w:val="231F20"/>
          <w:w w:val="95"/>
        </w:rPr>
        <w:t>数学</w:t>
      </w:r>
      <w:r>
        <w:rPr>
          <w:color w:val="231F20"/>
          <w:spacing w:val="-90"/>
          <w:w w:val="95"/>
        </w:rPr>
        <w:t>；</w:t>
      </w:r>
      <w:r>
        <w:rPr>
          <w:color w:val="231F20"/>
          <w:w w:val="95"/>
        </w:rPr>
        <w:t>解方程知识</w:t>
      </w:r>
      <w:r>
        <w:rPr>
          <w:color w:val="231F20"/>
          <w:spacing w:val="-90"/>
          <w:w w:val="95"/>
        </w:rPr>
        <w:t>；</w:t>
      </w:r>
      <w:r>
        <w:rPr>
          <w:color w:val="231F20"/>
          <w:w w:val="95"/>
        </w:rPr>
        <w:t>教学策</w:t>
      </w:r>
      <w:r>
        <w:rPr>
          <w:color w:val="231F20"/>
          <w:spacing w:val="-13"/>
          <w:w w:val="95"/>
        </w:rPr>
        <w:t>略</w:t>
      </w:r>
      <w:r>
        <w:rPr>
          <w:color w:val="231F20"/>
          <w:w w:val="99"/>
        </w:rPr>
        <w:t>中图分类号</w:t>
      </w:r>
      <w:r>
        <w:rPr>
          <w:color w:val="231F20"/>
          <w:spacing w:val="-90"/>
          <w:w w:val="99"/>
        </w:rPr>
        <w:t>：</w:t>
      </w:r>
      <w:r>
        <w:rPr>
          <w:rFonts w:ascii="Times New Roman" w:eastAsia="Times New Roman"/>
          <w:color w:val="231F20"/>
          <w:w w:val="95"/>
        </w:rPr>
        <w:t>G62</w:t>
      </w:r>
      <w:r>
        <w:rPr>
          <w:rFonts w:ascii="Times New Roman" w:eastAsia="Times New Roman"/>
          <w:color w:val="231F20"/>
        </w:rPr>
        <w:tab/>
      </w:r>
      <w:r>
        <w:rPr>
          <w:color w:val="231F20"/>
          <w:w w:val="99"/>
        </w:rPr>
        <w:t>文献标识码</w:t>
      </w:r>
      <w:r>
        <w:rPr>
          <w:color w:val="231F20"/>
          <w:spacing w:val="-90"/>
          <w:w w:val="99"/>
        </w:rPr>
        <w:t>：</w:t>
      </w:r>
      <w:r>
        <w:rPr>
          <w:rFonts w:ascii="Times New Roman" w:eastAsia="Times New Roman"/>
          <w:color w:val="231F20"/>
          <w:w w:val="91"/>
        </w:rPr>
        <w:t>A</w:t>
      </w:r>
    </w:p>
    <w:p>
      <w:pPr>
        <w:pStyle w:val="BodyText"/>
        <w:spacing w:line="273" w:lineRule="auto"/>
        <w:ind w:left="635" w:right="844"/>
        <w:rPr>
          <w:rFonts w:ascii="Times New Roman" w:eastAsia="Times New Roman"/>
        </w:rPr>
      </w:pPr>
      <w:r>
        <w:rPr>
          <w:color w:val="231F20"/>
          <w:spacing w:val="-18"/>
          <w:w w:val="99"/>
        </w:rPr>
        <w:t>文章编号：</w:t>
      </w:r>
      <w:r>
        <w:rPr>
          <w:rFonts w:ascii="Times New Roman" w:eastAsia="Times New Roman"/>
          <w:color w:val="231F20"/>
          <w:w w:val="104"/>
        </w:rPr>
        <w:t>1673-913</w:t>
      </w:r>
      <w:r>
        <w:rPr>
          <w:rFonts w:ascii="Times New Roman" w:eastAsia="Times New Roman"/>
          <w:color w:val="231F20"/>
          <w:spacing w:val="-66"/>
          <w:w w:val="99"/>
        </w:rPr>
        <w:t>2</w:t>
      </w:r>
      <w:r>
        <w:rPr>
          <w:color w:val="231F20"/>
          <w:spacing w:val="-24"/>
          <w:w w:val="99"/>
        </w:rPr>
        <w:t>（</w:t>
      </w:r>
      <w:r>
        <w:rPr>
          <w:rFonts w:ascii="Times New Roman" w:eastAsia="Times New Roman"/>
          <w:color w:val="231F20"/>
          <w:w w:val="99"/>
        </w:rPr>
        <w:t>201</w:t>
      </w:r>
      <w:r>
        <w:rPr>
          <w:rFonts w:ascii="Times New Roman" w:eastAsia="Times New Roman"/>
          <w:color w:val="231F20"/>
          <w:spacing w:val="-40"/>
          <w:w w:val="99"/>
        </w:rPr>
        <w:t>9</w:t>
      </w:r>
      <w:r>
        <w:rPr>
          <w:color w:val="231F20"/>
          <w:spacing w:val="-51"/>
          <w:w w:val="99"/>
        </w:rPr>
        <w:t>）</w:t>
      </w:r>
      <w:r>
        <w:rPr>
          <w:rFonts w:ascii="Times New Roman" w:eastAsia="Times New Roman"/>
          <w:color w:val="231F20"/>
          <w:w w:val="108"/>
        </w:rPr>
        <w:t>14-0054-02 </w:t>
      </w:r>
      <w:r>
        <w:rPr>
          <w:rFonts w:ascii="Times New Roman" w:eastAsia="Times New Roman"/>
          <w:color w:val="231F20"/>
          <w:w w:val="92"/>
        </w:rPr>
        <w:t>DOI</w:t>
      </w:r>
      <w:r>
        <w:rPr>
          <w:color w:val="231F20"/>
          <w:spacing w:val="-90"/>
          <w:w w:val="99"/>
        </w:rPr>
        <w:t>：</w:t>
      </w:r>
      <w:r>
        <w:rPr>
          <w:rFonts w:ascii="Times New Roman" w:eastAsia="Times New Roman"/>
          <w:color w:val="231F20"/>
          <w:w w:val="100"/>
        </w:rPr>
        <w:t>10.16657/j.cnki.issn1673-9132.2019.14.048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7"/>
        <w:ind w:right="127"/>
        <w:jc w:val="right"/>
      </w:pPr>
      <w:r>
        <w:rPr>
          <w:color w:val="231F20"/>
          <w:spacing w:val="6"/>
          <w:w w:val="95"/>
        </w:rPr>
        <w:t>小学数学解方程知识的教学对于学生来讲是极其重要</w:t>
      </w:r>
    </w:p>
    <w:p>
      <w:pPr>
        <w:pStyle w:val="BodyText"/>
        <w:spacing w:before="32"/>
        <w:ind w:right="127"/>
        <w:jc w:val="right"/>
      </w:pPr>
      <w:r>
        <w:rPr>
          <w:color w:val="231F20"/>
          <w:spacing w:val="-15"/>
          <w:w w:val="95"/>
        </w:rPr>
        <w:t>的，可以培养学生的解题思路，使学生由逆向解题思维转变为</w:t>
      </w:r>
    </w:p>
    <w:p>
      <w:pPr>
        <w:pStyle w:val="BodyText"/>
        <w:spacing w:before="9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314" w:lineRule="auto"/>
        <w:ind w:left="278" w:right="193"/>
        <w:jc w:val="both"/>
      </w:pPr>
      <w:r>
        <w:rPr>
          <w:color w:val="231F20"/>
          <w:spacing w:val="-16"/>
          <w:w w:val="95"/>
        </w:rPr>
        <w:t>正向解题思维。值得一提的是，很多学生在学习解方程这部分 </w:t>
      </w:r>
      <w:r>
        <w:rPr>
          <w:color w:val="231F20"/>
          <w:spacing w:val="-1"/>
          <w:w w:val="95"/>
        </w:rPr>
        <w:t>知识时将会感受到难度系数有所增加，还会产生一定的学习 </w:t>
      </w:r>
      <w:r>
        <w:rPr>
          <w:color w:val="231F20"/>
          <w:spacing w:val="-15"/>
          <w:w w:val="95"/>
        </w:rPr>
        <w:t>压力，甚至会降低学习过程中的热情，意识到学习过程中的阻 </w:t>
      </w:r>
      <w:r>
        <w:rPr>
          <w:color w:val="231F20"/>
          <w:spacing w:val="-1"/>
          <w:w w:val="95"/>
        </w:rPr>
        <w:t>力。所以，小学数学教师必须针对学生的学习能力与认知层 </w:t>
      </w:r>
      <w:r>
        <w:rPr>
          <w:color w:val="231F20"/>
          <w:spacing w:val="-14"/>
          <w:w w:val="95"/>
        </w:rPr>
        <w:t>次，制定有针对性的小学数学解方程教学方法，结合教学过程 </w:t>
      </w:r>
      <w:r>
        <w:rPr>
          <w:color w:val="231F20"/>
        </w:rPr>
        <w:t>中的问题提出解决建议。</w:t>
      </w:r>
    </w:p>
    <w:p>
      <w:pPr>
        <w:pStyle w:val="BodyText"/>
        <w:ind w:left="635"/>
      </w:pPr>
      <w:r>
        <w:rPr>
          <w:color w:val="231F20"/>
        </w:rPr>
        <w:t>一、运用教学衔接的方式，提高教学效果</w:t>
      </w:r>
    </w:p>
    <w:p>
      <w:pPr>
        <w:pStyle w:val="BodyText"/>
        <w:spacing w:line="314" w:lineRule="auto" w:before="72"/>
        <w:ind w:left="278" w:right="193" w:firstLine="357"/>
        <w:jc w:val="both"/>
      </w:pPr>
      <w:r>
        <w:rPr>
          <w:color w:val="231F20"/>
          <w:spacing w:val="-1"/>
          <w:w w:val="95"/>
        </w:rPr>
        <w:t>现阶段小学数学教学过程中所应用的教材很难满足学生 的学习及成长需求，新教材的编写并未意识到教材衔接的重 </w:t>
      </w:r>
      <w:r>
        <w:rPr>
          <w:color w:val="231F20"/>
          <w:spacing w:val="-14"/>
          <w:w w:val="95"/>
        </w:rPr>
        <w:t>要性，导致新教材解方程这部分知识点极其突兀，未能继承传 </w:t>
      </w:r>
      <w:r>
        <w:rPr>
          <w:color w:val="231F20"/>
          <w:spacing w:val="-1"/>
          <w:w w:val="95"/>
        </w:rPr>
        <w:t>统教材中的优点，也无法将加减乘除各部分知识作为解方程 的基础，学生在解方程前缺少对于解方程相关知识的了解与 </w:t>
      </w:r>
      <w:r>
        <w:rPr>
          <w:color w:val="231F20"/>
          <w:spacing w:val="-15"/>
          <w:w w:val="95"/>
        </w:rPr>
        <w:t>掌握，导致最终解方程知识基础极其薄弱，也无法将以往所学 </w:t>
      </w:r>
      <w:r>
        <w:rPr>
          <w:color w:val="231F20"/>
          <w:spacing w:val="-10"/>
        </w:rPr>
        <w:t>知识有效衔接，大大降低了学习效率。</w:t>
      </w:r>
    </w:p>
    <w:p>
      <w:pPr>
        <w:spacing w:after="0" w:line="314" w:lineRule="auto"/>
        <w:jc w:val="both"/>
        <w:sectPr>
          <w:type w:val="continuous"/>
          <w:pgSz w:w="12250" w:h="17180"/>
          <w:pgMar w:top="1020" w:bottom="900" w:left="1020" w:right="940"/>
          <w:cols w:num="2" w:equalWidth="0">
            <w:col w:w="5050" w:space="116"/>
            <w:col w:w="5124"/>
          </w:cols>
        </w:sectPr>
      </w:pPr>
    </w:p>
    <w:p>
      <w:pPr>
        <w:pStyle w:val="BodyText"/>
        <w:spacing w:after="1"/>
        <w:rPr>
          <w:sz w:val="25"/>
        </w:rPr>
      </w:pPr>
    </w:p>
    <w:p>
      <w:pPr>
        <w:pStyle w:val="BodyText"/>
        <w:spacing w:line="20" w:lineRule="exact"/>
        <w:ind w:left="285"/>
        <w:rPr>
          <w:sz w:val="2"/>
        </w:rPr>
      </w:pPr>
      <w:r>
        <w:rPr>
          <w:sz w:val="2"/>
        </w:rPr>
        <w:pict>
          <v:group style="width:490.1pt;height:.3pt;mso-position-horizontal-relative:char;mso-position-vertical-relative:line" coordorigin="0,0" coordsize="9802,6">
            <v:line style="position:absolute" from="0,3" to="9802,3" stroked="true" strokeweight=".299988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50" w:h="17180"/>
          <w:pgMar w:top="1020" w:bottom="900" w:left="1020" w:right="940"/>
        </w:sectPr>
      </w:pPr>
    </w:p>
    <w:p>
      <w:pPr>
        <w:spacing w:before="69"/>
        <w:ind w:left="643" w:right="0" w:firstLine="0"/>
        <w:jc w:val="left"/>
        <w:rPr>
          <w:sz w:val="16"/>
        </w:rPr>
      </w:pPr>
      <w:r>
        <w:rPr>
          <w:color w:val="231F20"/>
          <w:w w:val="80"/>
          <w:sz w:val="16"/>
        </w:rPr>
        <w:t>（</w:t>
      </w:r>
      <w:r>
        <w:rPr>
          <w:color w:val="231F20"/>
          <w:sz w:val="16"/>
        </w:rPr>
        <w:t>三</w:t>
      </w:r>
      <w:r>
        <w:rPr>
          <w:color w:val="231F20"/>
          <w:w w:val="80"/>
          <w:sz w:val="16"/>
        </w:rPr>
        <w:t>）</w:t>
      </w:r>
      <w:r>
        <w:rPr>
          <w:color w:val="231F20"/>
          <w:sz w:val="16"/>
        </w:rPr>
        <w:t>采用多元化合作方式</w:t>
      </w:r>
    </w:p>
    <w:p>
      <w:pPr>
        <w:pStyle w:val="BodyText"/>
        <w:spacing w:line="266" w:lineRule="auto" w:before="37"/>
        <w:ind w:left="281" w:right="125" w:firstLine="359"/>
        <w:jc w:val="both"/>
      </w:pPr>
      <w:r>
        <w:rPr>
          <w:color w:val="231F20"/>
          <w:spacing w:val="-7"/>
          <w:w w:val="95"/>
        </w:rPr>
        <w:t>学生的合作不是与生俱来的，需要教师针对小组合作学 </w:t>
      </w:r>
      <w:r>
        <w:rPr>
          <w:color w:val="231F20"/>
          <w:spacing w:val="-16"/>
          <w:w w:val="95"/>
        </w:rPr>
        <w:t>习的学前、学中、学后进行高效的组织与引导。这其中包括科 </w:t>
      </w:r>
      <w:r>
        <w:rPr>
          <w:color w:val="231F20"/>
          <w:spacing w:val="-8"/>
          <w:w w:val="95"/>
        </w:rPr>
        <w:t>学知识的引导，同时也应包括学习方法的引导。思想指导行 动，小组合作学习的开始，首先以树立合作思想意识为切入 </w:t>
      </w:r>
      <w:r>
        <w:rPr>
          <w:color w:val="231F20"/>
          <w:spacing w:val="-15"/>
          <w:w w:val="95"/>
        </w:rPr>
        <w:t>点，有了思想的指引加上学生自主学习的主观能动性，合作水 </w:t>
      </w:r>
      <w:r>
        <w:rPr>
          <w:color w:val="231F20"/>
        </w:rPr>
        <w:t>平才能得到有效提高。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5" w:after="0"/>
        <w:ind w:left="773" w:right="0" w:hanging="136"/>
        <w:jc w:val="left"/>
        <w:rPr>
          <w:sz w:val="18"/>
        </w:rPr>
      </w:pPr>
      <w:r>
        <w:rPr>
          <w:color w:val="231F20"/>
          <w:sz w:val="18"/>
        </w:rPr>
        <w:t>树立合作意识</w:t>
      </w:r>
    </w:p>
    <w:p>
      <w:pPr>
        <w:pStyle w:val="BodyText"/>
        <w:spacing w:line="266" w:lineRule="auto" w:before="26"/>
        <w:ind w:left="281" w:right="125" w:firstLine="359"/>
        <w:jc w:val="both"/>
      </w:pPr>
      <w:r>
        <w:rPr>
          <w:color w:val="231F20"/>
          <w:spacing w:val="-5"/>
          <w:w w:val="95"/>
        </w:rPr>
        <w:t>学生的合作意识是从师生共同更新观念，实现教与学的 </w:t>
      </w:r>
      <w:r>
        <w:rPr>
          <w:color w:val="231F20"/>
          <w:spacing w:val="-16"/>
          <w:w w:val="95"/>
        </w:rPr>
        <w:t>合作创新，由教师的教学理念与学生的合作思想共同作用，促 </w:t>
      </w:r>
      <w:r>
        <w:rPr>
          <w:color w:val="231F20"/>
          <w:spacing w:val="-7"/>
          <w:w w:val="95"/>
        </w:rPr>
        <w:t>进学生科学素养的提高。因此，在小学科学的小组合作学习 </w:t>
      </w:r>
      <w:r>
        <w:rPr>
          <w:color w:val="231F20"/>
          <w:spacing w:val="-17"/>
          <w:w w:val="95"/>
        </w:rPr>
        <w:t>中应采取培养学生自律能力、确定小组分工职责、制定组内细 </w:t>
      </w:r>
      <w:r>
        <w:rPr>
          <w:color w:val="231F20"/>
          <w:spacing w:val="-16"/>
          <w:w w:val="95"/>
        </w:rPr>
        <w:t>则规定、加强组长管理水平、开展竞赛活动、关注后进生提高 </w:t>
      </w:r>
      <w:r>
        <w:rPr>
          <w:color w:val="231F20"/>
          <w:spacing w:val="-17"/>
          <w:w w:val="95"/>
        </w:rPr>
        <w:t>整体水平、建立合理的评价机制、及时总结反思进行整改等方 </w:t>
      </w:r>
      <w:r>
        <w:rPr>
          <w:color w:val="231F20"/>
          <w:spacing w:val="-15"/>
          <w:w w:val="95"/>
        </w:rPr>
        <w:t>法，帮助学生在小组合作学习活动中享受成功的喜悦，树立好 </w:t>
      </w:r>
      <w:r>
        <w:rPr>
          <w:color w:val="231F20"/>
        </w:rPr>
        <w:t>互助协作的团队合作意识。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5" w:after="0"/>
        <w:ind w:left="773" w:right="0" w:hanging="136"/>
        <w:jc w:val="left"/>
        <w:rPr>
          <w:sz w:val="18"/>
        </w:rPr>
      </w:pPr>
      <w:r>
        <w:rPr>
          <w:color w:val="231F20"/>
          <w:sz w:val="18"/>
        </w:rPr>
        <w:t>增强自主学习</w:t>
      </w:r>
    </w:p>
    <w:p>
      <w:pPr>
        <w:pStyle w:val="BodyText"/>
        <w:spacing w:line="266" w:lineRule="auto" w:before="27"/>
        <w:ind w:left="281" w:right="38" w:firstLine="359"/>
      </w:pPr>
      <w:r>
        <w:rPr>
          <w:color w:val="231F20"/>
          <w:w w:val="95"/>
        </w:rPr>
        <w:t>责任感是学生在小组合作学习中自主学习必备的素质， </w:t>
      </w:r>
      <w:r>
        <w:rPr>
          <w:color w:val="231F20"/>
          <w:spacing w:val="-9"/>
        </w:rPr>
        <w:t>小组的成功来源于每个组员的自主努力，异质分组的方式，使</w:t>
      </w:r>
      <w:r>
        <w:rPr>
          <w:color w:val="231F20"/>
          <w:spacing w:val="-10"/>
        </w:rPr>
        <w:t>得学习优秀的学生起到了重要的带头作用，对于自身的能力</w:t>
      </w:r>
      <w:r>
        <w:rPr>
          <w:color w:val="231F20"/>
          <w:spacing w:val="-5"/>
          <w:w w:val="95"/>
        </w:rPr>
        <w:t>提高起着重要的推动作用。对后进生来说学习动力会更大， </w:t>
      </w:r>
      <w:r>
        <w:rPr>
          <w:color w:val="231F20"/>
          <w:spacing w:val="-16"/>
        </w:rPr>
        <w:t>提升的空间更加广阔。因此，在小组合作学习模式中，可以采</w:t>
      </w:r>
      <w:r>
        <w:rPr>
          <w:color w:val="231F20"/>
          <w:spacing w:val="-19"/>
        </w:rPr>
        <w:t>取激励的方法，每一个组员在小组共同的奋斗目标下，会增强</w:t>
      </w:r>
      <w:r>
        <w:rPr>
          <w:color w:val="231F20"/>
          <w:spacing w:val="-12"/>
        </w:rPr>
        <w:t>自主学习的能力，为完成自己的独立任务与小组的共同任务而努力。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6" w:after="0"/>
        <w:ind w:left="773" w:right="0" w:hanging="136"/>
        <w:jc w:val="left"/>
        <w:rPr>
          <w:sz w:val="18"/>
        </w:rPr>
      </w:pPr>
      <w:r>
        <w:rPr>
          <w:color w:val="231F20"/>
          <w:sz w:val="18"/>
        </w:rPr>
        <w:t>提高合作能力</w:t>
      </w:r>
    </w:p>
    <w:p>
      <w:pPr>
        <w:pStyle w:val="BodyText"/>
        <w:spacing w:line="266" w:lineRule="auto" w:before="53"/>
        <w:ind w:left="339" w:right="192"/>
        <w:jc w:val="both"/>
      </w:pPr>
      <w:r>
        <w:rPr/>
        <w:br w:type="column"/>
      </w:r>
      <w:r>
        <w:rPr>
          <w:color w:val="231F20"/>
          <w:spacing w:val="-1"/>
          <w:w w:val="95"/>
        </w:rPr>
        <w:t>每个小组的组员都在积极地参与学习活动，共同分担学习任 </w:t>
      </w:r>
      <w:r>
        <w:rPr>
          <w:color w:val="231F20"/>
          <w:spacing w:val="-14"/>
          <w:w w:val="95"/>
        </w:rPr>
        <w:t>务，在汇报学习结果与评价阶段学人之长克己之短，发挥自己 </w:t>
      </w:r>
      <w:r>
        <w:rPr>
          <w:color w:val="231F20"/>
          <w:spacing w:val="-1"/>
          <w:w w:val="95"/>
        </w:rPr>
        <w:t>的潜能。科学教师在评价学生的过程中应采取多元化、多角 </w:t>
      </w:r>
      <w:r>
        <w:rPr>
          <w:color w:val="231F20"/>
          <w:spacing w:val="-15"/>
          <w:w w:val="95"/>
        </w:rPr>
        <w:t>度、多样式的评价机制。将多角度的内容都纳入到评价体系当 </w:t>
      </w:r>
      <w:r>
        <w:rPr>
          <w:color w:val="231F20"/>
          <w:spacing w:val="-16"/>
          <w:w w:val="95"/>
        </w:rPr>
        <w:t>中，包括基本的学习成绩、课堂学习表现、日常的学习态度等 等。这在帮助学生增强自己的独立能力的同时，可以有效团结 </w:t>
      </w:r>
      <w:r>
        <w:rPr>
          <w:color w:val="231F20"/>
          <w:spacing w:val="-15"/>
          <w:w w:val="95"/>
        </w:rPr>
        <w:t>组内成员，让学生在小组合作学习中互帮互助、相互协作，这 </w:t>
      </w:r>
      <w:r>
        <w:rPr>
          <w:color w:val="231F20"/>
          <w:spacing w:val="-16"/>
          <w:w w:val="95"/>
        </w:rPr>
        <w:t>样学生的小组合作能力与学习效率才能得到真正意义上的有 </w:t>
      </w:r>
      <w:r>
        <w:rPr>
          <w:color w:val="231F20"/>
        </w:rPr>
        <w:t>效提高。</w:t>
      </w:r>
    </w:p>
    <w:p>
      <w:pPr>
        <w:pStyle w:val="BodyText"/>
        <w:spacing w:line="266" w:lineRule="auto" w:before="7"/>
        <w:ind w:left="339" w:right="105" w:firstLine="357"/>
      </w:pPr>
      <w:r>
        <w:rPr>
          <w:color w:val="231F20"/>
          <w:spacing w:val="-14"/>
        </w:rPr>
        <w:t>综上所述，小学科学课中采用小组合作学习的方式，可以有效增强学生的自主学习思想与合作意识。学生在小组合作</w:t>
      </w:r>
      <w:r>
        <w:rPr>
          <w:color w:val="231F20"/>
          <w:spacing w:val="-22"/>
          <w:w w:val="95"/>
        </w:rPr>
        <w:t>学习中通过参与讨论、实验、分析、总结等形式展开科学学习， </w:t>
      </w:r>
      <w:r>
        <w:rPr>
          <w:color w:val="231F20"/>
          <w:spacing w:val="4"/>
        </w:rPr>
        <w:t>使学生的科学理论知识与科学实验技能得到不同程度的提</w:t>
      </w:r>
      <w:r>
        <w:rPr>
          <w:color w:val="231F20"/>
          <w:spacing w:val="-25"/>
        </w:rPr>
        <w:t>高。小组合作学习有利于“教”与“学”的多边互助，学生的平等参与在某一程度上增加了学生的表现机会，促进了个体与团</w:t>
      </w:r>
      <w:r>
        <w:rPr>
          <w:color w:val="231F20"/>
          <w:spacing w:val="-20"/>
        </w:rPr>
        <w:t>体的共同进步，使学生的自主学习融于集体的互动学习中，自身科学素养随之提高。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339"/>
      </w:pPr>
      <w:r>
        <w:rPr>
          <w:color w:val="231F20"/>
        </w:rPr>
        <w:t>参考文献：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71" w:lineRule="auto" w:before="26" w:after="0"/>
        <w:ind w:left="339" w:right="113" w:firstLine="0"/>
        <w:jc w:val="left"/>
        <w:rPr>
          <w:rFonts w:ascii="Times New Roman" w:eastAsia="Times New Roman"/>
          <w:sz w:val="16"/>
        </w:rPr>
      </w:pPr>
      <w:r>
        <w:rPr>
          <w:color w:val="231F20"/>
          <w:spacing w:val="3"/>
          <w:sz w:val="16"/>
        </w:rPr>
        <w:t>沈宁</w:t>
      </w:r>
      <w:r>
        <w:rPr>
          <w:rFonts w:ascii="Times New Roman" w:eastAsia="Times New Roman"/>
          <w:color w:val="231F20"/>
          <w:sz w:val="16"/>
        </w:rPr>
        <w:t>.</w:t>
      </w:r>
      <w:r>
        <w:rPr>
          <w:color w:val="231F20"/>
          <w:spacing w:val="4"/>
          <w:sz w:val="16"/>
        </w:rPr>
        <w:t>运用多元智能理论优化小学科学课教学方法</w:t>
      </w:r>
      <w:r>
        <w:rPr>
          <w:rFonts w:ascii="Times New Roman" w:eastAsia="Times New Roman"/>
          <w:color w:val="231F20"/>
          <w:sz w:val="16"/>
        </w:rPr>
        <w:t>[J].</w:t>
      </w:r>
      <w:r>
        <w:rPr>
          <w:color w:val="231F20"/>
          <w:spacing w:val="4"/>
          <w:sz w:val="16"/>
        </w:rPr>
        <w:t>科学大众， </w:t>
      </w:r>
      <w:r>
        <w:rPr>
          <w:rFonts w:ascii="Times New Roman" w:eastAsia="Times New Roman"/>
          <w:color w:val="231F20"/>
          <w:spacing w:val="-21"/>
          <w:sz w:val="16"/>
        </w:rPr>
        <w:t>2007</w:t>
      </w:r>
      <w:r>
        <w:rPr>
          <w:color w:val="231F20"/>
          <w:spacing w:val="-21"/>
          <w:sz w:val="16"/>
        </w:rPr>
        <w:t>（</w:t>
      </w:r>
      <w:r>
        <w:rPr>
          <w:rFonts w:ascii="Times New Roman" w:eastAsia="Times New Roman"/>
          <w:color w:val="231F20"/>
          <w:spacing w:val="-21"/>
          <w:sz w:val="16"/>
        </w:rPr>
        <w:t>9</w:t>
      </w:r>
      <w:r>
        <w:rPr>
          <w:color w:val="231F20"/>
          <w:spacing w:val="-21"/>
          <w:sz w:val="16"/>
        </w:rPr>
        <w:t>）</w:t>
      </w:r>
      <w:r>
        <w:rPr>
          <w:rFonts w:ascii="Times New Roman" w:eastAsia="Times New Roman"/>
          <w:color w:val="231F20"/>
          <w:spacing w:val="-21"/>
          <w:sz w:val="16"/>
        </w:rPr>
        <w:t>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" w:after="0"/>
        <w:ind w:left="525" w:right="0" w:hanging="187"/>
        <w:jc w:val="left"/>
        <w:rPr>
          <w:rFonts w:ascii="Times New Roman" w:eastAsia="Times New Roman"/>
          <w:sz w:val="16"/>
        </w:rPr>
      </w:pPr>
      <w:r>
        <w:rPr>
          <w:color w:val="231F20"/>
          <w:w w:val="99"/>
          <w:sz w:val="16"/>
        </w:rPr>
        <w:t>田凤</w:t>
      </w:r>
      <w:r>
        <w:rPr>
          <w:rFonts w:ascii="Times New Roman" w:eastAsia="Times New Roman"/>
          <w:color w:val="231F20"/>
          <w:spacing w:val="-1"/>
          <w:w w:val="99"/>
          <w:sz w:val="16"/>
        </w:rPr>
        <w:t>.</w:t>
      </w:r>
      <w:r>
        <w:rPr>
          <w:color w:val="231F20"/>
          <w:w w:val="99"/>
          <w:sz w:val="16"/>
        </w:rPr>
        <w:t>小学科学课要重视质疑</w:t>
      </w:r>
      <w:r>
        <w:rPr>
          <w:rFonts w:ascii="Times New Roman" w:eastAsia="Times New Roman"/>
          <w:color w:val="231F20"/>
          <w:spacing w:val="-1"/>
          <w:w w:val="99"/>
          <w:sz w:val="16"/>
        </w:rPr>
        <w:t>[</w:t>
      </w:r>
      <w:r>
        <w:rPr>
          <w:rFonts w:ascii="Times New Roman" w:eastAsia="Times New Roman"/>
          <w:color w:val="231F20"/>
          <w:w w:val="99"/>
          <w:sz w:val="16"/>
        </w:rPr>
        <w:t>J</w:t>
      </w:r>
      <w:r>
        <w:rPr>
          <w:rFonts w:ascii="Times New Roman" w:eastAsia="Times New Roman"/>
          <w:color w:val="231F20"/>
          <w:spacing w:val="-2"/>
          <w:w w:val="99"/>
          <w:sz w:val="16"/>
        </w:rPr>
        <w:t>].</w:t>
      </w:r>
      <w:r>
        <w:rPr>
          <w:color w:val="231F20"/>
          <w:spacing w:val="-15"/>
          <w:w w:val="99"/>
          <w:sz w:val="16"/>
        </w:rPr>
        <w:t>吉林教育</w:t>
      </w:r>
      <w:r>
        <w:rPr>
          <w:color w:val="231F20"/>
          <w:spacing w:val="-22"/>
          <w:w w:val="99"/>
          <w:sz w:val="16"/>
        </w:rPr>
        <w:t>（</w:t>
      </w:r>
      <w:r>
        <w:rPr>
          <w:color w:val="231F20"/>
          <w:spacing w:val="-18"/>
          <w:w w:val="99"/>
          <w:sz w:val="16"/>
        </w:rPr>
        <w:t>综合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spacing w:val="-80"/>
          <w:w w:val="99"/>
          <w:sz w:val="16"/>
        </w:rPr>
        <w:t>，</w:t>
      </w:r>
      <w:r>
        <w:rPr>
          <w:rFonts w:ascii="Times New Roman" w:eastAsia="Times New Roman"/>
          <w:color w:val="231F20"/>
          <w:w w:val="99"/>
          <w:sz w:val="16"/>
        </w:rPr>
        <w:t>201</w:t>
      </w:r>
      <w:r>
        <w:rPr>
          <w:rFonts w:ascii="Times New Roman" w:eastAsia="Times New Roman"/>
          <w:color w:val="231F20"/>
          <w:spacing w:val="-59"/>
          <w:w w:val="99"/>
          <w:sz w:val="16"/>
        </w:rPr>
        <w:t>6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eastAsia="Times New Roman"/>
          <w:color w:val="231F20"/>
          <w:spacing w:val="-36"/>
          <w:w w:val="99"/>
          <w:sz w:val="16"/>
        </w:rPr>
        <w:t>5</w:t>
      </w:r>
      <w:r>
        <w:rPr>
          <w:color w:val="231F20"/>
          <w:spacing w:val="-45"/>
          <w:w w:val="99"/>
          <w:sz w:val="16"/>
        </w:rPr>
        <w:t>）</w:t>
      </w:r>
      <w:r>
        <w:rPr>
          <w:rFonts w:ascii="Times New Roman" w:eastAsia="Times New Roman"/>
          <w:color w:val="231F20"/>
          <w:w w:val="99"/>
          <w:sz w:val="16"/>
        </w:rPr>
        <w:t>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26" w:after="0"/>
        <w:ind w:left="525" w:right="0" w:hanging="187"/>
        <w:jc w:val="left"/>
        <w:rPr>
          <w:sz w:val="16"/>
        </w:rPr>
      </w:pPr>
      <w:r>
        <w:rPr>
          <w:color w:val="231F20"/>
          <w:sz w:val="16"/>
        </w:rPr>
        <w:t>闫明德</w:t>
      </w:r>
      <w:r>
        <w:rPr>
          <w:rFonts w:ascii="Times New Roman" w:eastAsia="Times New Roman"/>
          <w:color w:val="231F20"/>
          <w:sz w:val="16"/>
        </w:rPr>
        <w:t>.</w:t>
      </w:r>
      <w:r>
        <w:rPr>
          <w:color w:val="231F20"/>
          <w:sz w:val="16"/>
        </w:rPr>
        <w:t>小学生科学学习中质疑习惯的差异性及教学策略</w:t>
      </w:r>
      <w:r>
        <w:rPr>
          <w:rFonts w:ascii="Times New Roman" w:eastAsia="Times New Roman"/>
          <w:color w:val="231F20"/>
          <w:sz w:val="16"/>
        </w:rPr>
        <w:t>[J].</w:t>
      </w:r>
      <w:r>
        <w:rPr>
          <w:color w:val="231F20"/>
          <w:spacing w:val="1"/>
          <w:sz w:val="16"/>
        </w:rPr>
        <w:t>小学</w:t>
      </w:r>
    </w:p>
    <w:p>
      <w:pPr>
        <w:spacing w:before="27"/>
        <w:ind w:left="339" w:right="0" w:firstLine="0"/>
        <w:jc w:val="left"/>
        <w:rPr>
          <w:rFonts w:ascii="Times New Roman" w:eastAsia="Times New Roman"/>
          <w:sz w:val="16"/>
        </w:rPr>
      </w:pPr>
      <w:r>
        <w:rPr>
          <w:color w:val="231F20"/>
          <w:spacing w:val="-30"/>
          <w:w w:val="99"/>
          <w:sz w:val="16"/>
        </w:rPr>
        <w:t>科学</w:t>
      </w:r>
      <w:r>
        <w:rPr>
          <w:color w:val="231F20"/>
          <w:spacing w:val="-22"/>
          <w:w w:val="99"/>
          <w:sz w:val="16"/>
        </w:rPr>
        <w:t>（</w:t>
      </w:r>
      <w:r>
        <w:rPr>
          <w:color w:val="231F20"/>
          <w:spacing w:val="-12"/>
          <w:w w:val="99"/>
          <w:sz w:val="16"/>
        </w:rPr>
        <w:t>教师版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spacing w:val="-80"/>
          <w:w w:val="99"/>
          <w:sz w:val="16"/>
        </w:rPr>
        <w:t>，</w:t>
      </w:r>
      <w:r>
        <w:rPr>
          <w:rFonts w:ascii="Times New Roman" w:eastAsia="Times New Roman"/>
          <w:color w:val="231F20"/>
          <w:w w:val="99"/>
          <w:sz w:val="16"/>
        </w:rPr>
        <w:t>201</w:t>
      </w:r>
      <w:r>
        <w:rPr>
          <w:rFonts w:ascii="Times New Roman" w:eastAsia="Times New Roman"/>
          <w:color w:val="231F20"/>
          <w:spacing w:val="-59"/>
          <w:w w:val="99"/>
          <w:sz w:val="16"/>
        </w:rPr>
        <w:t>4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eastAsia="Times New Roman"/>
          <w:color w:val="231F20"/>
          <w:spacing w:val="-36"/>
          <w:w w:val="99"/>
          <w:sz w:val="16"/>
        </w:rPr>
        <w:t>4</w:t>
      </w:r>
      <w:r>
        <w:rPr>
          <w:color w:val="231F20"/>
          <w:spacing w:val="-45"/>
          <w:w w:val="99"/>
          <w:sz w:val="16"/>
        </w:rPr>
        <w:t>）</w:t>
      </w:r>
      <w:r>
        <w:rPr>
          <w:rFonts w:ascii="Times New Roman" w:eastAsia="Times New Roman"/>
          <w:color w:val="231F20"/>
          <w:w w:val="99"/>
          <w:sz w:val="16"/>
        </w:rPr>
        <w:t>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73" w:lineRule="auto" w:before="26" w:after="0"/>
        <w:ind w:left="339" w:right="189" w:firstLine="0"/>
        <w:jc w:val="left"/>
        <w:rPr>
          <w:rFonts w:ascii="Times New Roman" w:eastAsia="Times New Roman"/>
          <w:sz w:val="16"/>
        </w:rPr>
      </w:pPr>
      <w:r>
        <w:rPr>
          <w:color w:val="231F20"/>
          <w:w w:val="99"/>
          <w:sz w:val="16"/>
        </w:rPr>
        <w:t>许水勇</w:t>
      </w:r>
      <w:r>
        <w:rPr>
          <w:rFonts w:ascii="Times New Roman" w:eastAsia="Times New Roman"/>
          <w:color w:val="231F20"/>
          <w:spacing w:val="-1"/>
          <w:w w:val="99"/>
          <w:sz w:val="16"/>
        </w:rPr>
        <w:t>.</w:t>
      </w:r>
      <w:r>
        <w:rPr>
          <w:color w:val="231F20"/>
          <w:w w:val="99"/>
          <w:sz w:val="16"/>
        </w:rPr>
        <w:t>关注科学本质提升科学素养</w:t>
      </w:r>
      <w:r>
        <w:rPr>
          <w:rFonts w:ascii="Times New Roman" w:eastAsia="Times New Roman"/>
          <w:color w:val="231F20"/>
          <w:spacing w:val="-1"/>
          <w:w w:val="99"/>
          <w:sz w:val="16"/>
        </w:rPr>
        <w:t>[</w:t>
      </w:r>
      <w:r>
        <w:rPr>
          <w:rFonts w:ascii="Times New Roman" w:eastAsia="Times New Roman"/>
          <w:color w:val="231F20"/>
          <w:w w:val="99"/>
          <w:sz w:val="16"/>
        </w:rPr>
        <w:t>J</w:t>
      </w:r>
      <w:r>
        <w:rPr>
          <w:rFonts w:ascii="Times New Roman" w:eastAsia="Times New Roman"/>
          <w:color w:val="231F20"/>
          <w:spacing w:val="-2"/>
          <w:w w:val="99"/>
          <w:sz w:val="16"/>
        </w:rPr>
        <w:t>].</w:t>
      </w:r>
      <w:r>
        <w:rPr>
          <w:color w:val="231F20"/>
          <w:spacing w:val="-10"/>
          <w:w w:val="99"/>
          <w:sz w:val="16"/>
        </w:rPr>
        <w:t>现代中小学教育，</w:t>
      </w:r>
      <w:r>
        <w:rPr>
          <w:rFonts w:ascii="Times New Roman" w:eastAsia="Times New Roman"/>
          <w:color w:val="231F20"/>
          <w:w w:val="99"/>
          <w:sz w:val="16"/>
        </w:rPr>
        <w:t>201</w:t>
      </w:r>
      <w:r>
        <w:rPr>
          <w:rFonts w:ascii="Times New Roman" w:eastAsia="Times New Roman"/>
          <w:color w:val="231F20"/>
          <w:spacing w:val="-59"/>
          <w:w w:val="99"/>
          <w:sz w:val="16"/>
        </w:rPr>
        <w:t>0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eastAsia="Times New Roman"/>
          <w:color w:val="231F20"/>
          <w:spacing w:val="-36"/>
          <w:w w:val="99"/>
          <w:sz w:val="16"/>
        </w:rPr>
        <w:t>6</w:t>
      </w:r>
      <w:r>
        <w:rPr>
          <w:color w:val="231F20"/>
          <w:spacing w:val="-45"/>
          <w:w w:val="99"/>
          <w:sz w:val="16"/>
        </w:rPr>
        <w:t>）</w:t>
      </w:r>
      <w:r>
        <w:rPr>
          <w:rFonts w:ascii="Times New Roman" w:eastAsia="Times New Roman"/>
          <w:color w:val="231F20"/>
          <w:w w:val="99"/>
          <w:sz w:val="16"/>
        </w:rPr>
        <w:t>. </w:t>
      </w:r>
      <w:r>
        <w:rPr>
          <w:rFonts w:ascii="Times New Roman" w:eastAsia="Times New Roman"/>
          <w:color w:val="231F20"/>
          <w:spacing w:val="-1"/>
          <w:w w:val="99"/>
          <w:sz w:val="16"/>
        </w:rPr>
        <w:t>[</w:t>
      </w:r>
      <w:r>
        <w:rPr>
          <w:rFonts w:ascii="Times New Roman" w:eastAsia="Times New Roman"/>
          <w:color w:val="231F20"/>
          <w:w w:val="99"/>
          <w:sz w:val="16"/>
        </w:rPr>
        <w:t>5</w:t>
      </w:r>
      <w:r>
        <w:rPr>
          <w:rFonts w:ascii="Times New Roman" w:eastAsia="Times New Roman"/>
          <w:color w:val="231F20"/>
          <w:spacing w:val="5"/>
          <w:w w:val="99"/>
          <w:sz w:val="16"/>
        </w:rPr>
        <w:t>]</w:t>
      </w:r>
      <w:r>
        <w:rPr>
          <w:color w:val="231F20"/>
          <w:spacing w:val="5"/>
          <w:w w:val="99"/>
          <w:sz w:val="16"/>
        </w:rPr>
        <w:t>赵雅娟</w:t>
      </w:r>
      <w:r>
        <w:rPr>
          <w:rFonts w:ascii="Times New Roman" w:eastAsia="Times New Roman"/>
          <w:color w:val="231F20"/>
          <w:spacing w:val="4"/>
          <w:w w:val="99"/>
          <w:sz w:val="16"/>
        </w:rPr>
        <w:t>.</w:t>
      </w:r>
      <w:r>
        <w:rPr>
          <w:color w:val="231F20"/>
          <w:spacing w:val="5"/>
          <w:w w:val="99"/>
          <w:sz w:val="16"/>
        </w:rPr>
        <w:t>科学课上质疑精神与求证意识的培养</w:t>
      </w:r>
      <w:r>
        <w:rPr>
          <w:rFonts w:ascii="Times New Roman" w:eastAsia="Times New Roman"/>
          <w:color w:val="231F20"/>
          <w:spacing w:val="-1"/>
          <w:w w:val="99"/>
          <w:sz w:val="16"/>
        </w:rPr>
        <w:t>[</w:t>
      </w:r>
      <w:r>
        <w:rPr>
          <w:rFonts w:ascii="Times New Roman" w:eastAsia="Times New Roman"/>
          <w:color w:val="231F20"/>
          <w:w w:val="99"/>
          <w:sz w:val="16"/>
        </w:rPr>
        <w:t>J</w:t>
      </w:r>
      <w:r>
        <w:rPr>
          <w:rFonts w:ascii="Times New Roman" w:eastAsia="Times New Roman"/>
          <w:color w:val="231F20"/>
          <w:spacing w:val="1"/>
          <w:w w:val="99"/>
          <w:sz w:val="16"/>
        </w:rPr>
        <w:t>].</w:t>
      </w:r>
      <w:r>
        <w:rPr>
          <w:color w:val="231F20"/>
          <w:spacing w:val="-12"/>
          <w:w w:val="99"/>
          <w:sz w:val="16"/>
        </w:rPr>
        <w:t>辽宁教育，</w:t>
      </w:r>
      <w:r>
        <w:rPr>
          <w:rFonts w:ascii="Times New Roman" w:eastAsia="Times New Roman"/>
          <w:color w:val="231F20"/>
          <w:w w:val="99"/>
          <w:sz w:val="16"/>
        </w:rPr>
        <w:t>2006</w:t>
      </w:r>
    </w:p>
    <w:p>
      <w:pPr>
        <w:tabs>
          <w:tab w:pos="3457" w:val="left" w:leader="none"/>
        </w:tabs>
        <w:spacing w:line="209" w:lineRule="exact" w:before="0"/>
        <w:ind w:left="281" w:right="0" w:firstLine="0"/>
        <w:jc w:val="left"/>
        <w:rPr>
          <w:sz w:val="18"/>
        </w:rPr>
      </w:pPr>
      <w:r>
        <w:rPr>
          <w:color w:val="231F20"/>
          <w:spacing w:val="-22"/>
          <w:sz w:val="16"/>
        </w:rPr>
        <w:t>（</w:t>
      </w:r>
      <w:r>
        <w:rPr>
          <w:rFonts w:ascii="Times New Roman" w:eastAsia="Times New Roman"/>
          <w:color w:val="231F20"/>
          <w:spacing w:val="-22"/>
          <w:sz w:val="16"/>
        </w:rPr>
        <w:t>Z2</w:t>
      </w:r>
      <w:r>
        <w:rPr>
          <w:color w:val="231F20"/>
          <w:spacing w:val="-22"/>
          <w:sz w:val="16"/>
        </w:rPr>
        <w:t>）</w:t>
      </w:r>
      <w:r>
        <w:rPr>
          <w:rFonts w:ascii="Times New Roman" w:eastAsia="Times New Roman"/>
          <w:color w:val="231F20"/>
          <w:spacing w:val="-22"/>
          <w:sz w:val="16"/>
        </w:rPr>
        <w:t>.</w:t>
        <w:tab/>
      </w:r>
      <w:r>
        <w:rPr>
          <w:color w:val="231F20"/>
          <w:w w:val="95"/>
          <w:sz w:val="18"/>
        </w:rPr>
        <w:t>[</w:t>
      </w:r>
      <w:r>
        <w:rPr>
          <w:color w:val="231F20"/>
          <w:sz w:val="18"/>
        </w:rPr>
        <w:t>责任编辑 谷会巧</w:t>
      </w:r>
      <w:r>
        <w:rPr>
          <w:color w:val="231F20"/>
          <w:w w:val="95"/>
          <w:sz w:val="18"/>
        </w:rPr>
        <w:t>]</w:t>
      </w:r>
    </w:p>
    <w:p>
      <w:pPr>
        <w:spacing w:after="0" w:line="209" w:lineRule="exact"/>
        <w:jc w:val="left"/>
        <w:rPr>
          <w:sz w:val="18"/>
        </w:rPr>
        <w:sectPr>
          <w:type w:val="continuous"/>
          <w:pgSz w:w="12250" w:h="17180"/>
          <w:pgMar w:top="1020" w:bottom="900" w:left="1020" w:right="940"/>
          <w:cols w:num="2" w:equalWidth="0">
            <w:col w:w="5051" w:space="55"/>
            <w:col w:w="5184"/>
          </w:cols>
        </w:sectPr>
      </w:pPr>
    </w:p>
    <w:p>
      <w:pPr>
        <w:pStyle w:val="BodyText"/>
        <w:tabs>
          <w:tab w:pos="5453" w:val="left" w:leader="none"/>
          <w:tab w:pos="10091" w:val="left" w:leader="none"/>
        </w:tabs>
        <w:spacing w:line="210" w:lineRule="exact"/>
        <w:ind w:left="638"/>
        <w:rPr>
          <w:rFonts w:ascii="Times New Roman" w:eastAsia="Times New Roman"/>
        </w:rPr>
      </w:pPr>
      <w:r>
        <w:rPr>
          <w:color w:val="231F20"/>
          <w:w w:val="95"/>
        </w:rPr>
        <w:t>小组合作学习模式将个人之间的学习竞争转化为了小组</w:t>
      </w:r>
      <w:r>
        <w:rPr>
          <w:color w:val="231F20"/>
        </w:rPr>
        <w:tab/>
      </w:r>
      <w:r>
        <w:rPr>
          <w:rFonts w:ascii="Times New Roman" w:eastAsia="Times New Roman"/>
          <w:color w:val="231F20"/>
          <w:w w:val="99"/>
          <w:u w:val="single" w:color="231F20"/>
        </w:rPr>
        <w:t> </w:t>
      </w:r>
      <w:r>
        <w:rPr>
          <w:rFonts w:ascii="Times New Roman" w:eastAsia="Times New Roman"/>
          <w:color w:val="231F20"/>
          <w:u w:val="single" w:color="231F20"/>
        </w:rPr>
        <w:tab/>
      </w:r>
    </w:p>
    <w:p>
      <w:pPr>
        <w:spacing w:after="0" w:line="210" w:lineRule="exact"/>
        <w:rPr>
          <w:rFonts w:ascii="Times New Roman" w:eastAsia="Times New Roman"/>
        </w:rPr>
        <w:sectPr>
          <w:type w:val="continuous"/>
          <w:pgSz w:w="12250" w:h="17180"/>
          <w:pgMar w:top="1020" w:bottom="900" w:left="1020" w:right="940"/>
        </w:sectPr>
      </w:pPr>
    </w:p>
    <w:p>
      <w:pPr>
        <w:pStyle w:val="BodyText"/>
        <w:spacing w:before="27"/>
        <w:ind w:left="281"/>
      </w:pPr>
      <w:r>
        <w:rPr>
          <w:color w:val="231F20"/>
          <w:spacing w:val="-16"/>
        </w:rPr>
        <w:t>之间的竞争，激发了学生的团体参与、探究学习的积极性，学</w:t>
      </w:r>
    </w:p>
    <w:p>
      <w:pPr>
        <w:pStyle w:val="BodyText"/>
        <w:spacing w:before="26"/>
        <w:ind w:left="281"/>
      </w:pPr>
      <w:r>
        <w:rPr>
          <w:color w:val="231F20"/>
          <w:w w:val="95"/>
        </w:rPr>
        <w:t>生在激烈的小组竞争中合作，在合作中进行小组之间的竞争。</w:t>
      </w:r>
    </w:p>
    <w:p>
      <w:pPr>
        <w:spacing w:line="276" w:lineRule="auto" w:before="61"/>
        <w:ind w:left="281" w:right="192" w:firstLine="0"/>
        <w:jc w:val="left"/>
        <w:rPr>
          <w:sz w:val="16"/>
        </w:rPr>
      </w:pPr>
      <w:r>
        <w:rPr/>
        <w:br w:type="column"/>
      </w:r>
      <w:r>
        <w:rPr>
          <w:color w:val="231F20"/>
          <w:spacing w:val="-18"/>
          <w:w w:val="99"/>
          <w:sz w:val="16"/>
        </w:rPr>
        <w:t>作者简介：沈建强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hAnsi="Times New Roman" w:eastAsia="Times New Roman"/>
          <w:color w:val="231F20"/>
          <w:w w:val="99"/>
          <w:sz w:val="16"/>
        </w:rPr>
        <w:t>1984</w:t>
      </w:r>
      <w:r>
        <w:rPr>
          <w:rFonts w:ascii="Times New Roman" w:hAnsi="Times New Roman" w:eastAsia="Times New Roman"/>
          <w:color w:val="231F20"/>
          <w:spacing w:val="-1"/>
          <w:w w:val="99"/>
          <w:sz w:val="16"/>
        </w:rPr>
        <w:t>.4</w:t>
      </w:r>
      <w:r>
        <w:rPr>
          <w:color w:val="231F20"/>
          <w:spacing w:val="3"/>
          <w:w w:val="99"/>
          <w:sz w:val="16"/>
        </w:rPr>
        <w:t>—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spacing w:val="-25"/>
          <w:w w:val="99"/>
          <w:sz w:val="16"/>
        </w:rPr>
        <w:t>，男，汉族，江苏吴江人，小学一级，研究</w:t>
      </w:r>
      <w:r>
        <w:rPr>
          <w:color w:val="231F20"/>
          <w:spacing w:val="-15"/>
          <w:sz w:val="16"/>
        </w:rPr>
        <w:t>方向：科学课堂教学。</w:t>
      </w:r>
    </w:p>
    <w:p>
      <w:pPr>
        <w:spacing w:after="0" w:line="276" w:lineRule="auto"/>
        <w:jc w:val="left"/>
        <w:rPr>
          <w:sz w:val="16"/>
        </w:rPr>
        <w:sectPr>
          <w:type w:val="continuous"/>
          <w:pgSz w:w="12250" w:h="17180"/>
          <w:pgMar w:top="1020" w:bottom="900" w:left="1020" w:right="940"/>
          <w:cols w:num="2" w:equalWidth="0">
            <w:col w:w="5053" w:space="111"/>
            <w:col w:w="5126"/>
          </w:cols>
        </w:sectPr>
      </w:pPr>
    </w:p>
    <w:p>
      <w:pPr>
        <w:pStyle w:val="BodyText"/>
        <w:spacing w:line="290" w:lineRule="auto" w:before="26"/>
        <w:ind w:left="112" w:right="38" w:firstLine="357"/>
      </w:pPr>
      <w:r>
        <w:rPr>
          <w:color w:val="231F20"/>
          <w:spacing w:val="-14"/>
        </w:rPr>
        <w:t>所以，小学数学教师必须运用切合实际的衔接方法，有效编排解方程的知识内容，培养学生算术解题思维，以此为主</w:t>
      </w:r>
      <w:r>
        <w:rPr>
          <w:color w:val="231F20"/>
          <w:spacing w:val="-16"/>
        </w:rPr>
        <w:t>线，有效利用解方程的相关性质，以等式的一般性质解答简单</w:t>
      </w:r>
      <w:r>
        <w:rPr>
          <w:color w:val="231F20"/>
          <w:spacing w:val="-19"/>
        </w:rPr>
        <w:t>的方程习题，在此之后，再解决相对繁杂的方程，这样将会提</w:t>
      </w:r>
      <w:r>
        <w:rPr>
          <w:color w:val="231F20"/>
          <w:spacing w:val="-18"/>
        </w:rPr>
        <w:t>高学习效率，还能使得学生的学习效果事半功倍。例如，在解</w:t>
      </w:r>
      <w:r>
        <w:rPr>
          <w:color w:val="231F20"/>
          <w:spacing w:val="-21"/>
          <w:w w:val="95"/>
        </w:rPr>
        <w:t>答简单的方程 </w:t>
      </w:r>
      <w:r>
        <w:rPr>
          <w:rFonts w:ascii="Calibri" w:eastAsia="Calibri"/>
          <w:color w:val="231F20"/>
          <w:spacing w:val="-2"/>
          <w:w w:val="95"/>
        </w:rPr>
        <w:t>2</w:t>
      </w:r>
      <w:r>
        <w:rPr>
          <w:rFonts w:ascii="Calibri" w:eastAsia="Calibri"/>
          <w:i/>
          <w:color w:val="231F20"/>
          <w:spacing w:val="-2"/>
          <w:w w:val="95"/>
        </w:rPr>
        <w:t>x</w:t>
      </w:r>
      <w:r>
        <w:rPr>
          <w:color w:val="231F20"/>
          <w:spacing w:val="-2"/>
          <w:w w:val="95"/>
        </w:rPr>
        <w:t>＋</w:t>
      </w:r>
      <w:r>
        <w:rPr>
          <w:rFonts w:ascii="Calibri" w:eastAsia="Calibri"/>
          <w:color w:val="231F20"/>
          <w:spacing w:val="-2"/>
          <w:w w:val="95"/>
        </w:rPr>
        <w:t>1</w:t>
      </w:r>
      <w:r>
        <w:rPr>
          <w:color w:val="231F20"/>
          <w:spacing w:val="-2"/>
          <w:w w:val="95"/>
        </w:rPr>
        <w:t>＝</w:t>
      </w:r>
      <w:r>
        <w:rPr>
          <w:rFonts w:ascii="Calibri" w:eastAsia="Calibri"/>
          <w:color w:val="231F20"/>
          <w:spacing w:val="-2"/>
          <w:w w:val="95"/>
        </w:rPr>
        <w:t>3 </w:t>
      </w:r>
      <w:r>
        <w:rPr>
          <w:color w:val="231F20"/>
          <w:spacing w:val="-17"/>
          <w:w w:val="95"/>
        </w:rPr>
        <w:t>时，就要对方程进行转换，简化为 </w:t>
      </w:r>
      <w:r>
        <w:rPr>
          <w:rFonts w:ascii="Calibri" w:eastAsia="Calibri"/>
          <w:color w:val="231F20"/>
          <w:spacing w:val="-4"/>
          <w:w w:val="95"/>
        </w:rPr>
        <w:t>2</w:t>
      </w:r>
      <w:r>
        <w:rPr>
          <w:rFonts w:ascii="Calibri" w:eastAsia="Calibri"/>
          <w:i/>
          <w:color w:val="231F20"/>
          <w:spacing w:val="-4"/>
          <w:w w:val="95"/>
        </w:rPr>
        <w:t>x</w:t>
      </w:r>
      <w:r>
        <w:rPr>
          <w:rFonts w:ascii="Calibri" w:eastAsia="Calibri"/>
          <w:color w:val="231F20"/>
          <w:spacing w:val="-4"/>
          <w:w w:val="95"/>
        </w:rPr>
        <w:t>=2</w:t>
      </w:r>
      <w:r>
        <w:rPr>
          <w:color w:val="231F20"/>
          <w:spacing w:val="-4"/>
          <w:w w:val="95"/>
        </w:rPr>
        <w:t>， </w:t>
      </w:r>
      <w:r>
        <w:rPr>
          <w:color w:val="231F20"/>
          <w:spacing w:val="-10"/>
        </w:rPr>
        <w:t>此时，方程就可迎刃而解</w:t>
      </w:r>
      <w:r>
        <w:rPr>
          <w:rFonts w:ascii="Calibri" w:eastAsia="Calibri"/>
          <w:color w:val="231F20"/>
          <w:spacing w:val="-5"/>
          <w:position w:val="6"/>
          <w:sz w:val="10"/>
        </w:rPr>
        <w:t>[1]</w:t>
      </w:r>
      <w:r>
        <w:rPr>
          <w:color w:val="231F20"/>
        </w:rPr>
        <w:t>。</w:t>
      </w:r>
    </w:p>
    <w:p>
      <w:pPr>
        <w:pStyle w:val="BodyText"/>
        <w:spacing w:before="3"/>
        <w:ind w:left="469"/>
      </w:pPr>
      <w:r>
        <w:rPr>
          <w:color w:val="231F20"/>
        </w:rPr>
        <w:t>二、降低方程知识的难度，加强知识整合</w:t>
      </w:r>
    </w:p>
    <w:p>
      <w:pPr>
        <w:pStyle w:val="BodyText"/>
        <w:spacing w:line="278" w:lineRule="auto" w:before="49"/>
        <w:ind w:left="112" w:right="38" w:firstLine="364"/>
      </w:pPr>
      <w:r>
        <w:rPr>
          <w:color w:val="231F20"/>
          <w:spacing w:val="6"/>
        </w:rPr>
        <w:t>新课程标准中明确提出小学阶段学生在学习方程知识</w:t>
      </w:r>
      <w:r>
        <w:rPr>
          <w:color w:val="231F20"/>
          <w:spacing w:val="-15"/>
        </w:rPr>
        <w:t>时，必须要降低难度，将计算方法与应用问题有效结合，使学</w:t>
      </w:r>
      <w:r>
        <w:rPr>
          <w:color w:val="231F20"/>
          <w:spacing w:val="-20"/>
        </w:rPr>
        <w:t>生在解决问题时明确计算方式，但是，大多数学生对于分数方</w:t>
      </w:r>
      <w:r>
        <w:rPr>
          <w:color w:val="231F20"/>
          <w:spacing w:val="-17"/>
          <w:w w:val="95"/>
        </w:rPr>
        <w:t>程与正负数方程相关知识的了解不够广泛、缺乏深度，所以， </w:t>
      </w:r>
      <w:r>
        <w:rPr>
          <w:rFonts w:ascii="Calibri" w:hAnsi="Calibri" w:eastAsia="Calibri"/>
          <w:i/>
          <w:color w:val="231F20"/>
          <w:spacing w:val="2"/>
          <w:w w:val="85"/>
        </w:rPr>
        <w:t>a</w:t>
      </w:r>
      <w:r>
        <w:rPr>
          <w:color w:val="231F20"/>
          <w:w w:val="53"/>
        </w:rPr>
        <w:t>÷</w:t>
      </w:r>
      <w:r>
        <w:rPr>
          <w:rFonts w:ascii="Calibri" w:hAnsi="Calibri" w:eastAsia="Calibri"/>
          <w:i/>
          <w:color w:val="231F20"/>
          <w:spacing w:val="2"/>
          <w:w w:val="101"/>
        </w:rPr>
        <w:t>x</w:t>
      </w:r>
      <w:r>
        <w:rPr>
          <w:rFonts w:ascii="Calibri" w:hAnsi="Calibri" w:eastAsia="Calibri"/>
          <w:color w:val="231F20"/>
          <w:w w:val="108"/>
        </w:rPr>
        <w:t>=</w:t>
      </w:r>
      <w:r>
        <w:rPr>
          <w:rFonts w:ascii="Calibri" w:hAnsi="Calibri" w:eastAsia="Calibri"/>
          <w:i/>
          <w:color w:val="231F20"/>
          <w:w w:val="96"/>
        </w:rPr>
        <w:t>b</w:t>
      </w:r>
      <w:r>
        <w:rPr>
          <w:rFonts w:ascii="Calibri" w:hAnsi="Calibri" w:eastAsia="Calibri"/>
          <w:i/>
          <w:color w:val="231F20"/>
        </w:rPr>
        <w:t> </w:t>
      </w:r>
      <w:r>
        <w:rPr>
          <w:color w:val="231F20"/>
          <w:w w:val="99"/>
        </w:rPr>
        <w:t>以及</w:t>
      </w:r>
      <w:r>
        <w:rPr>
          <w:color w:val="231F20"/>
          <w:spacing w:val="-44"/>
        </w:rPr>
        <w:t> </w:t>
      </w:r>
      <w:r>
        <w:rPr>
          <w:rFonts w:ascii="Calibri" w:hAnsi="Calibri" w:eastAsia="Calibri"/>
          <w:i/>
          <w:color w:val="231F20"/>
          <w:spacing w:val="2"/>
          <w:w w:val="85"/>
        </w:rPr>
        <w:t>a</w:t>
      </w:r>
      <w:r>
        <w:rPr>
          <w:color w:val="231F20"/>
          <w:w w:val="53"/>
        </w:rPr>
        <w:t>－</w:t>
      </w:r>
      <w:r>
        <w:rPr>
          <w:rFonts w:ascii="Calibri" w:hAnsi="Calibri" w:eastAsia="Calibri"/>
          <w:i/>
          <w:color w:val="231F20"/>
          <w:spacing w:val="2"/>
          <w:w w:val="101"/>
        </w:rPr>
        <w:t>x</w:t>
      </w:r>
      <w:r>
        <w:rPr>
          <w:rFonts w:ascii="Calibri" w:hAnsi="Calibri" w:eastAsia="Calibri"/>
          <w:color w:val="231F20"/>
          <w:w w:val="108"/>
        </w:rPr>
        <w:t>=</w:t>
      </w:r>
      <w:r>
        <w:rPr>
          <w:rFonts w:ascii="Calibri" w:hAnsi="Calibri" w:eastAsia="Calibri"/>
          <w:i/>
          <w:color w:val="231F20"/>
          <w:w w:val="96"/>
        </w:rPr>
        <w:t>b</w:t>
      </w:r>
      <w:r>
        <w:rPr>
          <w:rFonts w:ascii="Calibri" w:hAnsi="Calibri" w:eastAsia="Calibri"/>
          <w:i/>
          <w:color w:val="231F20"/>
        </w:rPr>
        <w:t> </w:t>
      </w:r>
      <w:r>
        <w:rPr>
          <w:color w:val="231F20"/>
          <w:w w:val="99"/>
        </w:rPr>
        <w:t>相关知识已被删减掉，教研人员认为这部</w:t>
      </w:r>
      <w:r>
        <w:rPr>
          <w:color w:val="231F20"/>
        </w:rPr>
        <w:t>分知识不适合在小学阶段学习，如若将其安置在小学阶段必</w:t>
      </w:r>
      <w:r>
        <w:rPr>
          <w:color w:val="231F20"/>
          <w:spacing w:val="-12"/>
          <w:w w:val="95"/>
        </w:rPr>
        <w:t>然会降低学生的学习信心，还会增加学生的学习压力，因此， </w:t>
      </w:r>
      <w:r>
        <w:rPr>
          <w:color w:val="231F20"/>
          <w:spacing w:val="-12"/>
        </w:rPr>
        <w:t>教材选择性地将这部分内容删减，使得现阶段小学阶段的解</w:t>
      </w:r>
      <w:r>
        <w:rPr>
          <w:color w:val="231F20"/>
          <w:spacing w:val="-8"/>
        </w:rPr>
        <w:t>方程知识的学习仅出现未知数</w:t>
      </w:r>
      <w:r>
        <w:rPr>
          <w:rFonts w:ascii="Calibri" w:hAnsi="Calibri" w:eastAsia="Calibri"/>
          <w:color w:val="231F20"/>
        </w:rPr>
        <w:t>x </w:t>
      </w:r>
      <w:r>
        <w:rPr>
          <w:color w:val="231F20"/>
          <w:spacing w:val="-17"/>
        </w:rPr>
        <w:t>作加数、因数、被减数与被除</w:t>
      </w:r>
      <w:r>
        <w:rPr>
          <w:color w:val="231F20"/>
          <w:spacing w:val="-15"/>
        </w:rPr>
        <w:t>数，以等式的基本性质解方程，将会减少学生学习过程中的压</w:t>
      </w:r>
      <w:r>
        <w:rPr>
          <w:color w:val="231F20"/>
          <w:spacing w:val="-9"/>
        </w:rPr>
        <w:t>力，也有利于学生对于解方程知识的理解与掌握</w:t>
      </w:r>
      <w:r>
        <w:rPr>
          <w:rFonts w:ascii="Calibri" w:hAnsi="Calibri" w:eastAsia="Calibri"/>
          <w:color w:val="231F20"/>
          <w:spacing w:val="-5"/>
          <w:position w:val="6"/>
          <w:sz w:val="10"/>
        </w:rPr>
        <w:t>[2]</w:t>
      </w:r>
      <w:r>
        <w:rPr>
          <w:color w:val="231F20"/>
          <w:spacing w:val="-16"/>
        </w:rPr>
        <w:t>。但是，需</w:t>
      </w:r>
      <w:r>
        <w:rPr>
          <w:color w:val="231F20"/>
          <w:spacing w:val="-18"/>
        </w:rPr>
        <w:t>要注意的是，学生在学习过程中依旧会存在迷茫的现象，那么此时教师就应当将所学知识有效结合，将学生的知识网络与</w:t>
      </w:r>
      <w:r>
        <w:rPr>
          <w:color w:val="231F20"/>
          <w:spacing w:val="-20"/>
        </w:rPr>
        <w:t>简单的练习相联系，以达到综合利用的目的，还能提高学生解</w:t>
      </w:r>
      <w:r>
        <w:rPr>
          <w:color w:val="231F20"/>
          <w:spacing w:val="-16"/>
        </w:rPr>
        <w:t>方程速度，保证学习效率。</w:t>
      </w:r>
    </w:p>
    <w:p>
      <w:pPr>
        <w:pStyle w:val="BodyText"/>
        <w:spacing w:before="10"/>
        <w:ind w:left="469"/>
      </w:pPr>
      <w:r>
        <w:rPr>
          <w:color w:val="231F20"/>
        </w:rPr>
        <w:t>三、注重师生交流，实现情感共融</w:t>
      </w:r>
    </w:p>
    <w:p>
      <w:pPr>
        <w:pStyle w:val="BodyText"/>
        <w:spacing w:line="278" w:lineRule="auto" w:before="37"/>
        <w:ind w:left="112" w:right="38" w:firstLine="357"/>
      </w:pPr>
      <w:r>
        <w:rPr>
          <w:color w:val="231F20"/>
        </w:rPr>
        <w:t>小学阶段的学生性格特点较为活泼，属于相对特殊的群</w:t>
      </w:r>
      <w:r>
        <w:rPr>
          <w:color w:val="231F20"/>
          <w:spacing w:val="-13"/>
        </w:rPr>
        <w:t>体，他们的思维分析能力存在局限，同时对于新知识的接受能</w:t>
      </w:r>
      <w:r>
        <w:rPr>
          <w:color w:val="231F20"/>
          <w:spacing w:val="-21"/>
        </w:rPr>
        <w:t>力相对较差，如若教师未能进行有效的引导，必然会导致学生的</w:t>
      </w:r>
      <w:r>
        <w:rPr>
          <w:color w:val="231F20"/>
          <w:spacing w:val="-24"/>
          <w:w w:val="95"/>
        </w:rPr>
        <w:t>学习过程存在死角，大大降低了学习效率。传统的数学教学环节， </w:t>
      </w:r>
      <w:r>
        <w:rPr>
          <w:color w:val="231F20"/>
          <w:spacing w:val="-9"/>
        </w:rPr>
        <w:t>大部分教师都会运用填鸭式的教学方式，未能重视学生接受能</w:t>
      </w:r>
      <w:r>
        <w:rPr>
          <w:color w:val="231F20"/>
          <w:spacing w:val="-17"/>
        </w:rPr>
        <w:t>力及认知能力，致使最终的教学效果不佳，此外，也使得教师制定的教学方案无法满足学生的成长及学习需求</w:t>
      </w:r>
      <w:r>
        <w:rPr>
          <w:rFonts w:ascii="Calibri" w:eastAsia="Calibri"/>
          <w:color w:val="231F20"/>
          <w:spacing w:val="-5"/>
          <w:position w:val="6"/>
          <w:sz w:val="10"/>
        </w:rPr>
        <w:t>[3]</w:t>
      </w:r>
      <w:r>
        <w:rPr>
          <w:color w:val="231F20"/>
        </w:rPr>
        <w:t>。</w:t>
      </w:r>
    </w:p>
    <w:p>
      <w:pPr>
        <w:pStyle w:val="BodyText"/>
        <w:spacing w:line="290" w:lineRule="auto" w:before="4"/>
        <w:ind w:left="112" w:right="38" w:firstLine="357"/>
      </w:pPr>
      <w:r>
        <w:rPr>
          <w:color w:val="231F20"/>
          <w:spacing w:val="-6"/>
        </w:rPr>
        <w:t>笔者结合自身多年的工作经验，认为小学数学教师在教</w:t>
      </w:r>
      <w:r>
        <w:rPr>
          <w:color w:val="231F20"/>
          <w:spacing w:val="-7"/>
        </w:rPr>
        <w:t>授解方程相关知识时，有必要加强师生间的交流，建立良好</w:t>
      </w:r>
      <w:r>
        <w:rPr>
          <w:color w:val="231F20"/>
          <w:spacing w:val="-4"/>
          <w:w w:val="95"/>
        </w:rPr>
        <w:t>的师生关系，提高学生对于解方程知识的认知与掌握能力。 </w:t>
      </w:r>
      <w:r>
        <w:rPr>
          <w:color w:val="231F20"/>
          <w:spacing w:val="-2"/>
        </w:rPr>
        <w:t>在实践教学环节应当有效利用事物完成教学任务。比如，在</w:t>
      </w:r>
      <w:r>
        <w:rPr>
          <w:color w:val="231F20"/>
          <w:spacing w:val="4"/>
        </w:rPr>
        <w:t>教授解方程知识的过程中，教师就可有效利用天平这一物体，使学生意识到解方程的基本性质，培养学生的数学思</w:t>
      </w:r>
      <w:r>
        <w:rPr>
          <w:color w:val="231F20"/>
          <w:spacing w:val="-6"/>
          <w:w w:val="95"/>
        </w:rPr>
        <w:t>维，以直观的呈现方式加强学生的理解，将方程视作天平， </w:t>
      </w:r>
      <w:r>
        <w:rPr>
          <w:color w:val="231F20"/>
          <w:spacing w:val="-3"/>
        </w:rPr>
        <w:t>两边均为相等的。在这样的引导方式下，学生将会拓宽其视</w:t>
      </w:r>
      <w:r>
        <w:rPr>
          <w:color w:val="231F20"/>
          <w:spacing w:val="-8"/>
        </w:rPr>
        <w:t>域范围，以此为基础，教师还应当在实践中不断地总结，明</w:t>
      </w:r>
      <w:r>
        <w:rPr>
          <w:color w:val="231F20"/>
          <w:spacing w:val="-4"/>
        </w:rPr>
        <w:t>确学生的个性特点及认知层次，加强与学生之间的交流，运</w:t>
      </w:r>
      <w:r>
        <w:rPr>
          <w:color w:val="231F20"/>
          <w:spacing w:val="-15"/>
        </w:rPr>
        <w:t>用合作式的教学方式，加强教学环节的沟通，最终提高教学效</w:t>
      </w:r>
      <w:r>
        <w:rPr>
          <w:color w:val="231F20"/>
          <w:spacing w:val="-18"/>
        </w:rPr>
        <w:t>果。除此之外，教师还需对学生进行适当的引导与启发，要求学生细致的观察并思考方程式，花费一定的时间去理解和消</w:t>
      </w:r>
      <w:r>
        <w:rPr>
          <w:color w:val="231F20"/>
          <w:spacing w:val="-17"/>
        </w:rPr>
        <w:t>化，过程中如果产生疑问应当及时与教师交流、研讨，不断地总结，进而获取更为丰富的知识。总而言之，这一过程中必然</w:t>
      </w:r>
      <w:r>
        <w:rPr>
          <w:color w:val="231F20"/>
          <w:spacing w:val="-7"/>
        </w:rPr>
        <w:t>会加深学生的印象，还能牢固记忆相关知识，利于日后的应用，从而大大提高学习效率</w:t>
      </w:r>
      <w:r>
        <w:rPr>
          <w:rFonts w:ascii="Calibri" w:eastAsia="Calibri"/>
          <w:color w:val="231F20"/>
          <w:position w:val="6"/>
          <w:sz w:val="10"/>
        </w:rPr>
        <w:t>[4]</w:t>
      </w:r>
      <w:r>
        <w:rPr>
          <w:color w:val="231F20"/>
        </w:rPr>
        <w:t>。</w:t>
      </w:r>
    </w:p>
    <w:p>
      <w:pPr>
        <w:pStyle w:val="BodyText"/>
        <w:spacing w:line="203" w:lineRule="exact"/>
        <w:ind w:left="469"/>
      </w:pPr>
      <w:r>
        <w:rPr>
          <w:color w:val="231F20"/>
          <w:spacing w:val="-15"/>
          <w:w w:val="95"/>
        </w:rPr>
        <w:t>四、强化训练，培养学生解题思维</w:t>
      </w:r>
    </w:p>
    <w:p>
      <w:pPr>
        <w:pStyle w:val="BodyText"/>
        <w:spacing w:line="280" w:lineRule="auto" w:before="37"/>
        <w:ind w:left="112" w:right="127" w:firstLine="357"/>
      </w:pPr>
      <w:r>
        <w:rPr>
          <w:color w:val="231F20"/>
          <w:spacing w:val="-12"/>
          <w:w w:val="95"/>
        </w:rPr>
        <w:t>教师在教授解方程这部分知识，需要从两个方面入手，提 </w:t>
      </w:r>
      <w:r>
        <w:rPr>
          <w:color w:val="231F20"/>
        </w:rPr>
        <w:t>高学生对解方程知识的认知与理解。</w:t>
      </w:r>
    </w:p>
    <w:p>
      <w:pPr>
        <w:pStyle w:val="BodyText"/>
        <w:spacing w:line="229" w:lineRule="exact"/>
        <w:ind w:right="127"/>
        <w:jc w:val="right"/>
      </w:pPr>
      <w:r>
        <w:rPr>
          <w:color w:val="231F20"/>
          <w:w w:val="95"/>
        </w:rPr>
        <w:t>一方面，教师应结合教材中的内容，根据最终的教学目</w:t>
      </w:r>
    </w:p>
    <w:p>
      <w:pPr>
        <w:pStyle w:val="BodyText"/>
        <w:spacing w:before="38"/>
        <w:ind w:right="127"/>
        <w:jc w:val="right"/>
      </w:pPr>
      <w:r>
        <w:rPr>
          <w:color w:val="231F20"/>
          <w:spacing w:val="-16"/>
          <w:w w:val="95"/>
        </w:rPr>
        <w:t>标，对教学方案进行改革与创新，使教学内容更加丰富，体现</w:t>
      </w:r>
    </w:p>
    <w:p>
      <w:pPr>
        <w:pStyle w:val="BodyText"/>
        <w:spacing w:line="278" w:lineRule="auto" w:before="26"/>
        <w:ind w:left="112" w:right="361"/>
        <w:jc w:val="both"/>
      </w:pPr>
      <w:r>
        <w:rPr/>
        <w:br w:type="column"/>
      </w:r>
      <w:r>
        <w:rPr>
          <w:color w:val="231F20"/>
          <w:spacing w:val="-1"/>
          <w:w w:val="95"/>
        </w:rPr>
        <w:t>多元化的特色，同时引导学生与方程式多角度、多类型地接 </w:t>
      </w:r>
      <w:r>
        <w:rPr>
          <w:color w:val="231F20"/>
          <w:spacing w:val="-17"/>
          <w:w w:val="95"/>
        </w:rPr>
        <w:t>触，增加学生对于解方程知识的了解，并以此为基础，对知识 </w:t>
      </w:r>
      <w:r>
        <w:rPr>
          <w:color w:val="231F20"/>
          <w:spacing w:val="-19"/>
          <w:w w:val="95"/>
        </w:rPr>
        <w:t>体系进行完善，还要加强练习，使学生明确知识内容迁移的方 </w:t>
      </w:r>
      <w:r>
        <w:rPr>
          <w:color w:val="231F20"/>
          <w:spacing w:val="-15"/>
          <w:w w:val="95"/>
        </w:rPr>
        <w:t>式及技巧，将所学知识与解方程知识有机结合，逐步建立知识 网络结构，运用已学的知识点解决解方程过程中的问题，从而 </w:t>
      </w:r>
      <w:r>
        <w:rPr>
          <w:color w:val="231F20"/>
        </w:rPr>
        <w:t>提高解题效率，</w:t>
      </w:r>
    </w:p>
    <w:p>
      <w:pPr>
        <w:pStyle w:val="BodyText"/>
        <w:spacing w:line="285" w:lineRule="auto" w:before="4"/>
        <w:ind w:left="112" w:right="272" w:firstLine="357"/>
      </w:pPr>
      <w:r>
        <w:rPr>
          <w:color w:val="231F20"/>
        </w:rPr>
        <w:t>另一方面，教师则应当着重加强学生对基本类型方程式</w:t>
      </w:r>
      <w:r>
        <w:rPr>
          <w:color w:val="231F20"/>
          <w:spacing w:val="-12"/>
          <w:w w:val="95"/>
        </w:rPr>
        <w:t>的训练，培养学生方程式的解题思路，形成牢固的解题思维， </w:t>
      </w:r>
      <w:r>
        <w:rPr>
          <w:color w:val="231F20"/>
          <w:spacing w:val="-19"/>
        </w:rPr>
        <w:t>还要学会从多个方面入手，使解题过程更加灵活、多变</w:t>
      </w:r>
      <w:r>
        <w:rPr>
          <w:rFonts w:ascii="Calibri" w:eastAsia="Calibri"/>
          <w:color w:val="231F20"/>
          <w:spacing w:val="-5"/>
          <w:position w:val="6"/>
          <w:sz w:val="10"/>
        </w:rPr>
        <w:t>[5]</w:t>
      </w:r>
      <w:r>
        <w:rPr>
          <w:color w:val="231F20"/>
        </w:rPr>
        <w:t>。</w:t>
      </w:r>
    </w:p>
    <w:p>
      <w:pPr>
        <w:pStyle w:val="BodyText"/>
        <w:spacing w:before="3"/>
        <w:ind w:left="469"/>
      </w:pPr>
      <w:r>
        <w:rPr>
          <w:color w:val="231F20"/>
        </w:rPr>
        <w:t>五、以循序渐进的方式教授解方程知识</w:t>
      </w:r>
    </w:p>
    <w:p>
      <w:pPr>
        <w:pStyle w:val="BodyText"/>
        <w:spacing w:line="290" w:lineRule="auto" w:before="49"/>
        <w:ind w:left="112" w:right="361" w:firstLine="357"/>
        <w:jc w:val="both"/>
      </w:pPr>
      <w:r>
        <w:rPr>
          <w:color w:val="231F20"/>
          <w:spacing w:val="-1"/>
          <w:w w:val="95"/>
        </w:rPr>
        <w:t>小学数学教学过程中教授解方程相关知识时，大部分教 </w:t>
      </w:r>
      <w:r>
        <w:rPr>
          <w:color w:val="231F20"/>
          <w:spacing w:val="-12"/>
          <w:w w:val="95"/>
        </w:rPr>
        <w:t>师会选择首先对方程式进行变形，此外，也有部分教师将解题 </w:t>
      </w:r>
      <w:r>
        <w:rPr>
          <w:color w:val="231F20"/>
          <w:spacing w:val="-16"/>
          <w:w w:val="95"/>
        </w:rPr>
        <w:t>步骤直接省略，从而产生了两个极端，部分学生在解题环节书 </w:t>
      </w:r>
      <w:r>
        <w:rPr>
          <w:color w:val="231F20"/>
          <w:spacing w:val="-1"/>
          <w:w w:val="95"/>
        </w:rPr>
        <w:t>写解题过程过于烦琐，也有一些学生在解题时将解题过程直 </w:t>
      </w:r>
      <w:r>
        <w:rPr>
          <w:color w:val="231F20"/>
          <w:spacing w:val="-16"/>
          <w:w w:val="95"/>
        </w:rPr>
        <w:t>接忽略，导致解题过程不完整，缺少必要的解题步骤，或未能 </w:t>
      </w:r>
      <w:r>
        <w:rPr>
          <w:color w:val="231F20"/>
          <w:spacing w:val="-20"/>
          <w:w w:val="95"/>
        </w:rPr>
        <w:t>认真观察解题要求，致使其成绩无法有效提高，削弱了学生的 </w:t>
      </w:r>
      <w:r>
        <w:rPr>
          <w:color w:val="231F20"/>
        </w:rPr>
        <w:t>学习信心。</w:t>
      </w:r>
    </w:p>
    <w:p>
      <w:pPr>
        <w:pStyle w:val="BodyText"/>
        <w:spacing w:line="290" w:lineRule="auto" w:before="3"/>
        <w:ind w:left="112" w:right="361" w:firstLine="357"/>
        <w:jc w:val="both"/>
      </w:pPr>
      <w:r>
        <w:rPr>
          <w:color w:val="231F20"/>
          <w:spacing w:val="-1"/>
          <w:w w:val="95"/>
        </w:rPr>
        <w:t>笔者结合自身多年的工作经验，认为小学数学解方程这 部分知识的教学过程中，一道完整的方程解题过程都要分为 </w:t>
      </w:r>
      <w:r>
        <w:rPr>
          <w:color w:val="231F20"/>
          <w:spacing w:val="-16"/>
          <w:w w:val="95"/>
        </w:rPr>
        <w:t>四步，将简化与变形的过程予以记录，最终得出计算结果。这 </w:t>
      </w:r>
      <w:r>
        <w:rPr>
          <w:color w:val="231F20"/>
          <w:spacing w:val="-1"/>
          <w:w w:val="95"/>
        </w:rPr>
        <w:t>样的解决方式利于培养学生缜密的解题习惯，提高方程解题 </w:t>
      </w:r>
      <w:r>
        <w:rPr>
          <w:color w:val="231F20"/>
          <w:spacing w:val="-10"/>
        </w:rPr>
        <w:t>的正确率，对学生日后数学知识的学习极其有利</w:t>
      </w:r>
      <w:r>
        <w:rPr>
          <w:rFonts w:ascii="Calibri" w:eastAsia="Calibri"/>
          <w:color w:val="231F20"/>
          <w:spacing w:val="-5"/>
          <w:position w:val="6"/>
          <w:sz w:val="10"/>
        </w:rPr>
        <w:t>[6]</w:t>
      </w:r>
      <w:r>
        <w:rPr>
          <w:color w:val="231F20"/>
        </w:rPr>
        <w:t>。</w:t>
      </w:r>
    </w:p>
    <w:p>
      <w:pPr>
        <w:pStyle w:val="BodyText"/>
        <w:spacing w:line="280" w:lineRule="auto" w:before="2"/>
        <w:ind w:left="112" w:right="272" w:firstLine="357"/>
      </w:pPr>
      <w:r>
        <w:rPr>
          <w:color w:val="231F20"/>
          <w:spacing w:val="-1"/>
        </w:rPr>
        <w:t>综上所述，小学数学课程可以培养学生的数学思维，还</w:t>
      </w:r>
      <w:r>
        <w:rPr>
          <w:color w:val="231F20"/>
          <w:spacing w:val="-7"/>
        </w:rPr>
        <w:t>能提高学生的逻辑能力，数学可谓是极其严谨的学科，而其</w:t>
      </w:r>
      <w:r>
        <w:rPr>
          <w:color w:val="231F20"/>
          <w:spacing w:val="4"/>
        </w:rPr>
        <w:t>中的解方程知识对于学生的学习习惯、解题能力与认知能力的要求极高，要求学生必须对以往知识进行整合而后有</w:t>
      </w:r>
      <w:r>
        <w:rPr>
          <w:color w:val="231F20"/>
          <w:spacing w:val="-8"/>
        </w:rPr>
        <w:t>效利用，将其应用于解题环节，这样方可提高方程解答的效</w:t>
      </w:r>
      <w:r>
        <w:rPr>
          <w:color w:val="231F20"/>
          <w:w w:val="95"/>
        </w:rPr>
        <w:t>率与速度。而教师在此过程中必须发挥自身的引导性作用， </w:t>
      </w:r>
      <w:r>
        <w:rPr>
          <w:color w:val="231F20"/>
          <w:spacing w:val="4"/>
        </w:rPr>
        <w:t>在看懂教材的基础上，对解方程知识与其他部分知识有效</w:t>
      </w:r>
      <w:r>
        <w:rPr>
          <w:color w:val="231F20"/>
          <w:spacing w:val="-8"/>
        </w:rPr>
        <w:t>衔接，全面把控并驾驭教材，参照最终的教学目标，对传统</w:t>
      </w:r>
      <w:r>
        <w:rPr>
          <w:color w:val="231F20"/>
          <w:spacing w:val="-6"/>
        </w:rPr>
        <w:t>的教学模式进行创新与改革，以新课程标准为依据，结合学</w:t>
      </w:r>
      <w:r>
        <w:rPr>
          <w:color w:val="231F20"/>
          <w:spacing w:val="4"/>
        </w:rPr>
        <w:t>生的学习情况与个性特点，制定切合实际的数学解方程教</w:t>
      </w:r>
      <w:r>
        <w:rPr>
          <w:color w:val="231F20"/>
          <w:spacing w:val="-9"/>
        </w:rPr>
        <w:t>学方案，满足学生的学习需求。此外，需在实践教学环节加强与学生之间的互动，培养学生解题思维，加强训练，提高</w:t>
      </w:r>
      <w:r>
        <w:rPr>
          <w:color w:val="231F20"/>
          <w:spacing w:val="4"/>
        </w:rPr>
        <w:t>学生对解方程知识的理解与掌握，为其日后的成长与发展</w:t>
      </w:r>
      <w:r>
        <w:rPr>
          <w:color w:val="231F20"/>
          <w:spacing w:val="1"/>
        </w:rPr>
        <w:t>奠定坚实基础。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12"/>
      </w:pPr>
      <w:r>
        <w:rPr>
          <w:color w:val="231F20"/>
          <w:w w:val="95"/>
        </w:rPr>
        <w:t>参考文献：</w:t>
      </w: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90" w:lineRule="auto" w:before="41" w:after="0"/>
        <w:ind w:left="112" w:right="281" w:firstLine="0"/>
        <w:jc w:val="left"/>
        <w:rPr>
          <w:rFonts w:ascii="Times New Roman" w:eastAsia="Times New Roman"/>
          <w:sz w:val="16"/>
        </w:rPr>
      </w:pPr>
      <w:r>
        <w:rPr>
          <w:color w:val="231F20"/>
          <w:spacing w:val="3"/>
          <w:sz w:val="16"/>
        </w:rPr>
        <w:t>黄治国</w:t>
      </w:r>
      <w:r>
        <w:rPr>
          <w:rFonts w:ascii="Times New Roman" w:eastAsia="Times New Roman"/>
          <w:color w:val="231F20"/>
          <w:sz w:val="16"/>
        </w:rPr>
        <w:t>.</w:t>
      </w:r>
      <w:r>
        <w:rPr>
          <w:color w:val="231F20"/>
          <w:spacing w:val="4"/>
          <w:sz w:val="16"/>
        </w:rPr>
        <w:t>小学数学解方程的常用方法及完善对策初探</w:t>
      </w:r>
      <w:r>
        <w:rPr>
          <w:rFonts w:ascii="Times New Roman" w:eastAsia="Times New Roman"/>
          <w:color w:val="231F20"/>
          <w:sz w:val="16"/>
        </w:rPr>
        <w:t>[J].</w:t>
      </w:r>
      <w:r>
        <w:rPr>
          <w:color w:val="231F20"/>
          <w:spacing w:val="3"/>
          <w:sz w:val="16"/>
        </w:rPr>
        <w:t>教育界， </w:t>
      </w:r>
      <w:r>
        <w:rPr>
          <w:rFonts w:ascii="Times New Roman" w:eastAsia="Times New Roman"/>
          <w:color w:val="231F20"/>
          <w:spacing w:val="3"/>
          <w:w w:val="99"/>
          <w:sz w:val="16"/>
        </w:rPr>
        <w:t>201</w:t>
      </w:r>
      <w:r>
        <w:rPr>
          <w:rFonts w:ascii="Times New Roman" w:eastAsia="Times New Roman"/>
          <w:color w:val="231F20"/>
          <w:spacing w:val="-59"/>
          <w:w w:val="99"/>
          <w:sz w:val="16"/>
        </w:rPr>
        <w:t>4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eastAsia="Times New Roman"/>
          <w:color w:val="231F20"/>
          <w:w w:val="99"/>
          <w:sz w:val="16"/>
        </w:rPr>
        <w:t>3</w:t>
      </w:r>
      <w:r>
        <w:rPr>
          <w:rFonts w:ascii="Times New Roman" w:eastAsia="Times New Roman"/>
          <w:color w:val="231F20"/>
          <w:spacing w:val="-36"/>
          <w:w w:val="99"/>
          <w:sz w:val="16"/>
        </w:rPr>
        <w:t>5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spacing w:val="-80"/>
          <w:w w:val="99"/>
          <w:sz w:val="16"/>
        </w:rPr>
        <w:t>：</w:t>
      </w:r>
      <w:r>
        <w:rPr>
          <w:rFonts w:ascii="Times New Roman" w:eastAsia="Times New Roman"/>
          <w:color w:val="231F20"/>
          <w:w w:val="99"/>
          <w:sz w:val="16"/>
        </w:rPr>
        <w:t>45.</w:t>
      </w:r>
    </w:p>
    <w:p>
      <w:pPr>
        <w:pStyle w:val="ListParagraph"/>
        <w:numPr>
          <w:ilvl w:val="0"/>
          <w:numId w:val="3"/>
        </w:numPr>
        <w:tabs>
          <w:tab w:pos="303" w:val="left" w:leader="none"/>
        </w:tabs>
        <w:spacing w:line="304" w:lineRule="auto" w:before="1" w:after="0"/>
        <w:ind w:left="112" w:right="281" w:firstLine="0"/>
        <w:jc w:val="left"/>
        <w:rPr>
          <w:rFonts w:ascii="Times New Roman" w:eastAsia="Times New Roman"/>
          <w:sz w:val="16"/>
        </w:rPr>
      </w:pPr>
      <w:r>
        <w:rPr>
          <w:color w:val="231F20"/>
          <w:spacing w:val="5"/>
          <w:w w:val="99"/>
          <w:sz w:val="16"/>
        </w:rPr>
        <w:t>周娜</w:t>
      </w:r>
      <w:r>
        <w:rPr>
          <w:rFonts w:ascii="Times New Roman" w:eastAsia="Times New Roman"/>
          <w:color w:val="231F20"/>
          <w:spacing w:val="4"/>
          <w:w w:val="99"/>
          <w:sz w:val="16"/>
        </w:rPr>
        <w:t>.</w:t>
      </w:r>
      <w:r>
        <w:rPr>
          <w:color w:val="231F20"/>
          <w:spacing w:val="5"/>
          <w:w w:val="99"/>
          <w:sz w:val="16"/>
        </w:rPr>
        <w:t>小学数学解方程教学优化策略探究</w:t>
      </w:r>
      <w:r>
        <w:rPr>
          <w:rFonts w:ascii="Times New Roman" w:eastAsia="Times New Roman"/>
          <w:color w:val="231F20"/>
          <w:spacing w:val="-1"/>
          <w:w w:val="99"/>
          <w:sz w:val="16"/>
        </w:rPr>
        <w:t>[</w:t>
      </w:r>
      <w:r>
        <w:rPr>
          <w:rFonts w:ascii="Times New Roman" w:eastAsia="Times New Roman"/>
          <w:color w:val="231F20"/>
          <w:w w:val="99"/>
          <w:sz w:val="16"/>
        </w:rPr>
        <w:t>J</w:t>
      </w:r>
      <w:r>
        <w:rPr>
          <w:rFonts w:ascii="Times New Roman" w:eastAsia="Times New Roman"/>
          <w:color w:val="231F20"/>
          <w:spacing w:val="1"/>
          <w:w w:val="99"/>
          <w:sz w:val="16"/>
        </w:rPr>
        <w:t>].</w:t>
      </w:r>
      <w:r>
        <w:rPr>
          <w:color w:val="231F20"/>
          <w:spacing w:val="-12"/>
          <w:w w:val="99"/>
          <w:sz w:val="16"/>
        </w:rPr>
        <w:t>读书文摘，</w:t>
      </w:r>
      <w:r>
        <w:rPr>
          <w:rFonts w:ascii="Times New Roman" w:eastAsia="Times New Roman"/>
          <w:color w:val="231F20"/>
          <w:w w:val="99"/>
          <w:sz w:val="16"/>
        </w:rPr>
        <w:t>201</w:t>
      </w:r>
      <w:r>
        <w:rPr>
          <w:rFonts w:ascii="Times New Roman" w:eastAsia="Times New Roman"/>
          <w:color w:val="231F20"/>
          <w:spacing w:val="-51"/>
          <w:w w:val="99"/>
          <w:sz w:val="16"/>
        </w:rPr>
        <w:t>7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eastAsia="Times New Roman"/>
          <w:color w:val="231F20"/>
          <w:spacing w:val="-36"/>
          <w:w w:val="99"/>
          <w:sz w:val="16"/>
        </w:rPr>
        <w:t>2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w w:val="99"/>
          <w:sz w:val="16"/>
        </w:rPr>
        <w:t>： </w:t>
      </w:r>
      <w:r>
        <w:rPr>
          <w:rFonts w:ascii="Times New Roman" w:eastAsia="Times New Roman"/>
          <w:color w:val="231F20"/>
          <w:sz w:val="16"/>
        </w:rPr>
        <w:t>280.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302" w:lineRule="auto" w:before="5" w:after="0"/>
        <w:ind w:left="112" w:right="281" w:firstLine="0"/>
        <w:jc w:val="left"/>
        <w:rPr>
          <w:rFonts w:ascii="Times New Roman" w:eastAsia="Times New Roman"/>
          <w:sz w:val="16"/>
        </w:rPr>
      </w:pPr>
      <w:r>
        <w:rPr>
          <w:color w:val="231F20"/>
          <w:spacing w:val="-4"/>
          <w:w w:val="99"/>
          <w:sz w:val="16"/>
        </w:rPr>
        <w:t>周华</w:t>
      </w:r>
      <w:r>
        <w:rPr>
          <w:rFonts w:ascii="Times New Roman" w:eastAsia="Times New Roman"/>
          <w:color w:val="231F20"/>
          <w:spacing w:val="-5"/>
          <w:w w:val="99"/>
          <w:sz w:val="16"/>
        </w:rPr>
        <w:t>.</w:t>
      </w:r>
      <w:r>
        <w:rPr>
          <w:color w:val="231F20"/>
          <w:spacing w:val="-4"/>
          <w:w w:val="99"/>
          <w:sz w:val="16"/>
        </w:rPr>
        <w:t>小学高年级数学解方程教学策略探析</w:t>
      </w:r>
      <w:r>
        <w:rPr>
          <w:rFonts w:ascii="Times New Roman" w:eastAsia="Times New Roman"/>
          <w:color w:val="231F20"/>
          <w:spacing w:val="-5"/>
          <w:w w:val="99"/>
          <w:sz w:val="16"/>
        </w:rPr>
        <w:t>[</w:t>
      </w:r>
      <w:r>
        <w:rPr>
          <w:rFonts w:ascii="Times New Roman" w:eastAsia="Times New Roman"/>
          <w:color w:val="231F20"/>
          <w:spacing w:val="-4"/>
          <w:w w:val="99"/>
          <w:sz w:val="16"/>
        </w:rPr>
        <w:t>J</w:t>
      </w:r>
      <w:r>
        <w:rPr>
          <w:rFonts w:ascii="Times New Roman" w:eastAsia="Times New Roman"/>
          <w:color w:val="231F20"/>
          <w:spacing w:val="-4"/>
          <w:w w:val="99"/>
          <w:sz w:val="16"/>
        </w:rPr>
        <w:t>].</w:t>
      </w:r>
      <w:r>
        <w:rPr>
          <w:color w:val="231F20"/>
          <w:spacing w:val="-19"/>
          <w:w w:val="99"/>
          <w:sz w:val="16"/>
        </w:rPr>
        <w:t>中外交流，</w:t>
      </w:r>
      <w:r>
        <w:rPr>
          <w:rFonts w:ascii="Times New Roman" w:eastAsia="Times New Roman"/>
          <w:color w:val="231F20"/>
          <w:w w:val="99"/>
          <w:sz w:val="16"/>
        </w:rPr>
        <w:t>201</w:t>
      </w:r>
      <w:r>
        <w:rPr>
          <w:rFonts w:ascii="Times New Roman" w:eastAsia="Times New Roman"/>
          <w:color w:val="231F20"/>
          <w:spacing w:val="-61"/>
          <w:w w:val="99"/>
          <w:sz w:val="16"/>
        </w:rPr>
        <w:t>8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eastAsia="Times New Roman"/>
          <w:color w:val="231F20"/>
          <w:w w:val="99"/>
          <w:sz w:val="16"/>
        </w:rPr>
        <w:t>1</w:t>
      </w:r>
      <w:r>
        <w:rPr>
          <w:rFonts w:ascii="Times New Roman" w:eastAsia="Times New Roman"/>
          <w:color w:val="231F20"/>
          <w:spacing w:val="-36"/>
          <w:w w:val="99"/>
          <w:sz w:val="16"/>
        </w:rPr>
        <w:t>5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w w:val="99"/>
          <w:sz w:val="16"/>
        </w:rPr>
        <w:t>： </w:t>
      </w:r>
      <w:r>
        <w:rPr>
          <w:rFonts w:ascii="Times New Roman" w:eastAsia="Times New Roman"/>
          <w:color w:val="231F20"/>
          <w:sz w:val="16"/>
        </w:rPr>
        <w:t>117.</w:t>
      </w:r>
    </w:p>
    <w:p>
      <w:pPr>
        <w:pStyle w:val="ListParagraph"/>
        <w:numPr>
          <w:ilvl w:val="0"/>
          <w:numId w:val="3"/>
        </w:numPr>
        <w:tabs>
          <w:tab w:pos="299" w:val="left" w:leader="none"/>
        </w:tabs>
        <w:spacing w:line="331" w:lineRule="auto" w:before="42" w:after="0"/>
        <w:ind w:left="112" w:right="361" w:firstLine="0"/>
        <w:jc w:val="left"/>
        <w:rPr>
          <w:rFonts w:ascii="Times New Roman" w:hAnsi="Times New Roman" w:eastAsia="Times New Roman"/>
          <w:sz w:val="16"/>
        </w:rPr>
      </w:pPr>
      <w:r>
        <w:rPr>
          <w:color w:val="231F20"/>
          <w:spacing w:val="-41"/>
          <w:w w:val="99"/>
          <w:sz w:val="16"/>
        </w:rPr>
        <w:t>颜寿春“</w:t>
      </w:r>
      <w:r>
        <w:rPr>
          <w:rFonts w:ascii="Times New Roman" w:hAnsi="Times New Roman" w:eastAsia="Times New Roman"/>
          <w:color w:val="231F20"/>
          <w:w w:val="99"/>
          <w:sz w:val="16"/>
        </w:rPr>
        <w:t>.</w:t>
      </w:r>
      <w:r>
        <w:rPr>
          <w:rFonts w:ascii="Times New Roman" w:hAnsi="Times New Roman" w:eastAsia="Times New Roman"/>
          <w:color w:val="231F20"/>
          <w:spacing w:val="-1"/>
          <w:sz w:val="16"/>
        </w:rPr>
        <w:t>  </w:t>
      </w:r>
      <w:r>
        <w:rPr>
          <w:color w:val="231F20"/>
          <w:spacing w:val="-26"/>
          <w:w w:val="99"/>
          <w:sz w:val="16"/>
        </w:rPr>
        <w:t>损”有余而“补”不足</w:t>
      </w:r>
      <w:r>
        <w:rPr>
          <w:color w:val="231F20"/>
          <w:spacing w:val="-40"/>
          <w:sz w:val="16"/>
        </w:rPr>
        <w:t> </w:t>
      </w:r>
      <w:r>
        <w:rPr>
          <w:color w:val="231F20"/>
          <w:spacing w:val="1"/>
          <w:w w:val="198"/>
          <w:sz w:val="16"/>
        </w:rPr>
        <w:t>—</w:t>
      </w:r>
      <w:r>
        <w:rPr>
          <w:color w:val="231F20"/>
          <w:spacing w:val="1"/>
          <w:w w:val="99"/>
          <w:sz w:val="16"/>
        </w:rPr>
        <w:t>例谈方程教学的增与减</w:t>
      </w:r>
      <w:r>
        <w:rPr>
          <w:rFonts w:ascii="Times New Roman" w:hAnsi="Times New Roman" w:eastAsia="Times New Roman"/>
          <w:color w:val="231F20"/>
          <w:spacing w:val="-1"/>
          <w:w w:val="99"/>
          <w:sz w:val="16"/>
        </w:rPr>
        <w:t>[</w:t>
      </w:r>
      <w:r>
        <w:rPr>
          <w:rFonts w:ascii="Times New Roman" w:hAnsi="Times New Roman" w:eastAsia="Times New Roman"/>
          <w:color w:val="231F20"/>
          <w:w w:val="99"/>
          <w:sz w:val="16"/>
        </w:rPr>
        <w:t>J</w:t>
      </w:r>
      <w:r>
        <w:rPr>
          <w:rFonts w:ascii="Times New Roman" w:hAnsi="Times New Roman" w:eastAsia="Times New Roman"/>
          <w:color w:val="231F20"/>
          <w:spacing w:val="-1"/>
          <w:w w:val="99"/>
          <w:sz w:val="16"/>
        </w:rPr>
        <w:t>].</w:t>
      </w:r>
      <w:r>
        <w:rPr>
          <w:color w:val="231F20"/>
          <w:spacing w:val="1"/>
          <w:w w:val="99"/>
          <w:sz w:val="16"/>
        </w:rPr>
        <w:t>基础</w:t>
      </w:r>
      <w:r>
        <w:rPr>
          <w:color w:val="231F20"/>
          <w:spacing w:val="-16"/>
          <w:w w:val="99"/>
          <w:sz w:val="16"/>
        </w:rPr>
        <w:t>教育论坛，</w:t>
      </w:r>
      <w:r>
        <w:rPr>
          <w:rFonts w:ascii="Times New Roman" w:hAnsi="Times New Roman" w:eastAsia="Times New Roman"/>
          <w:color w:val="231F20"/>
          <w:w w:val="99"/>
          <w:sz w:val="16"/>
        </w:rPr>
        <w:t>201</w:t>
      </w:r>
      <w:r>
        <w:rPr>
          <w:rFonts w:ascii="Times New Roman" w:hAnsi="Times New Roman" w:eastAsia="Times New Roman"/>
          <w:color w:val="231F20"/>
          <w:spacing w:val="-59"/>
          <w:w w:val="99"/>
          <w:sz w:val="16"/>
        </w:rPr>
        <w:t>7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hAnsi="Times New Roman" w:eastAsia="Times New Roman"/>
          <w:color w:val="231F20"/>
          <w:w w:val="99"/>
          <w:sz w:val="16"/>
        </w:rPr>
        <w:t>2</w:t>
      </w:r>
      <w:r>
        <w:rPr>
          <w:rFonts w:ascii="Times New Roman" w:hAnsi="Times New Roman" w:eastAsia="Times New Roman"/>
          <w:color w:val="231F20"/>
          <w:spacing w:val="-36"/>
          <w:w w:val="99"/>
          <w:sz w:val="16"/>
        </w:rPr>
        <w:t>8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spacing w:val="-80"/>
          <w:w w:val="99"/>
          <w:sz w:val="16"/>
        </w:rPr>
        <w:t>：</w:t>
      </w:r>
      <w:r>
        <w:rPr>
          <w:rFonts w:ascii="Times New Roman" w:hAnsi="Times New Roman" w:eastAsia="Times New Roman"/>
          <w:color w:val="231F20"/>
          <w:w w:val="99"/>
          <w:sz w:val="16"/>
        </w:rPr>
        <w:t>36.</w:t>
      </w:r>
    </w:p>
    <w:p>
      <w:pPr>
        <w:pStyle w:val="ListParagraph"/>
        <w:numPr>
          <w:ilvl w:val="0"/>
          <w:numId w:val="3"/>
        </w:numPr>
        <w:tabs>
          <w:tab w:pos="299" w:val="left" w:leader="none"/>
        </w:tabs>
        <w:spacing w:line="204" w:lineRule="exact" w:before="0" w:after="0"/>
        <w:ind w:left="298" w:right="0" w:hanging="187"/>
        <w:jc w:val="left"/>
        <w:rPr>
          <w:sz w:val="16"/>
        </w:rPr>
      </w:pPr>
      <w:r>
        <w:rPr>
          <w:color w:val="231F20"/>
          <w:w w:val="105"/>
          <w:sz w:val="16"/>
        </w:rPr>
        <w:t>汪奇</w:t>
      </w:r>
      <w:r>
        <w:rPr>
          <w:rFonts w:ascii="Times New Roman" w:hAnsi="Times New Roman" w:eastAsia="Times New Roman"/>
          <w:color w:val="231F20"/>
          <w:w w:val="105"/>
          <w:sz w:val="16"/>
        </w:rPr>
        <w:t>.</w:t>
      </w:r>
      <w:r>
        <w:rPr>
          <w:color w:val="231F20"/>
          <w:spacing w:val="-7"/>
          <w:w w:val="105"/>
          <w:sz w:val="16"/>
        </w:rPr>
        <w:t>融通新旧教材，融合两套算理</w:t>
      </w:r>
      <w:r>
        <w:rPr>
          <w:color w:val="231F20"/>
          <w:w w:val="180"/>
          <w:sz w:val="16"/>
        </w:rPr>
        <w:t>—</w:t>
      </w:r>
      <w:r>
        <w:rPr>
          <w:color w:val="231F20"/>
          <w:spacing w:val="3"/>
          <w:w w:val="105"/>
          <w:sz w:val="16"/>
        </w:rPr>
        <w:t>对小学数学五</w:t>
      </w:r>
      <w:r>
        <w:rPr>
          <w:rFonts w:ascii="Times New Roman" w:hAnsi="Times New Roman" w:eastAsia="Times New Roman"/>
          <w:color w:val="231F20"/>
          <w:spacing w:val="3"/>
          <w:w w:val="105"/>
          <w:sz w:val="16"/>
        </w:rPr>
        <w:t>(</w:t>
      </w:r>
      <w:r>
        <w:rPr>
          <w:color w:val="231F20"/>
          <w:spacing w:val="5"/>
          <w:w w:val="105"/>
          <w:sz w:val="16"/>
        </w:rPr>
        <w:t>上</w:t>
      </w:r>
      <w:r>
        <w:rPr>
          <w:rFonts w:ascii="Times New Roman" w:hAnsi="Times New Roman" w:eastAsia="Times New Roman"/>
          <w:color w:val="231F20"/>
          <w:spacing w:val="3"/>
          <w:w w:val="105"/>
          <w:sz w:val="16"/>
        </w:rPr>
        <w:t>)</w:t>
      </w:r>
      <w:r>
        <w:rPr>
          <w:color w:val="231F20"/>
          <w:spacing w:val="2"/>
          <w:w w:val="105"/>
          <w:sz w:val="16"/>
        </w:rPr>
        <w:t>解方程</w:t>
      </w:r>
    </w:p>
    <w:p>
      <w:pPr>
        <w:spacing w:before="78"/>
        <w:ind w:left="112" w:right="0" w:firstLine="0"/>
        <w:jc w:val="left"/>
        <w:rPr>
          <w:rFonts w:ascii="Times New Roman" w:hAnsi="Times New Roman" w:eastAsia="Times New Roman"/>
          <w:sz w:val="16"/>
        </w:rPr>
      </w:pPr>
      <w:r>
        <w:rPr>
          <w:color w:val="231F20"/>
          <w:w w:val="99"/>
          <w:sz w:val="16"/>
        </w:rPr>
        <w:t>教学实践的理性反思和策略探求</w:t>
      </w:r>
      <w:r>
        <w:rPr>
          <w:rFonts w:ascii="Times New Roman" w:hAnsi="Times New Roman" w:eastAsia="Times New Roman"/>
          <w:color w:val="231F20"/>
          <w:spacing w:val="-1"/>
          <w:w w:val="99"/>
          <w:sz w:val="16"/>
        </w:rPr>
        <w:t>[</w:t>
      </w:r>
      <w:r>
        <w:rPr>
          <w:rFonts w:ascii="Times New Roman" w:hAnsi="Times New Roman" w:eastAsia="Times New Roman"/>
          <w:color w:val="231F20"/>
          <w:w w:val="99"/>
          <w:sz w:val="16"/>
        </w:rPr>
        <w:t>J</w:t>
      </w:r>
      <w:r>
        <w:rPr>
          <w:rFonts w:ascii="Times New Roman" w:hAnsi="Times New Roman" w:eastAsia="Times New Roman"/>
          <w:color w:val="231F20"/>
          <w:spacing w:val="-2"/>
          <w:w w:val="99"/>
          <w:sz w:val="16"/>
        </w:rPr>
        <w:t>].</w:t>
      </w:r>
      <w:r>
        <w:rPr>
          <w:color w:val="231F20"/>
          <w:spacing w:val="-13"/>
          <w:w w:val="99"/>
          <w:sz w:val="16"/>
        </w:rPr>
        <w:t>新课程</w:t>
      </w:r>
      <w:r>
        <w:rPr>
          <w:color w:val="231F20"/>
          <w:spacing w:val="-41"/>
          <w:w w:val="99"/>
          <w:sz w:val="16"/>
        </w:rPr>
        <w:t>·</w:t>
      </w:r>
      <w:r>
        <w:rPr>
          <w:color w:val="231F20"/>
          <w:spacing w:val="-27"/>
          <w:w w:val="99"/>
          <w:sz w:val="16"/>
        </w:rPr>
        <w:t>小学，</w:t>
      </w:r>
      <w:r>
        <w:rPr>
          <w:rFonts w:ascii="Times New Roman" w:hAnsi="Times New Roman" w:eastAsia="Times New Roman"/>
          <w:color w:val="231F20"/>
          <w:w w:val="99"/>
          <w:sz w:val="16"/>
        </w:rPr>
        <w:t>201</w:t>
      </w:r>
      <w:r>
        <w:rPr>
          <w:rFonts w:ascii="Times New Roman" w:hAnsi="Times New Roman" w:eastAsia="Times New Roman"/>
          <w:color w:val="231F20"/>
          <w:spacing w:val="-59"/>
          <w:w w:val="99"/>
          <w:sz w:val="16"/>
        </w:rPr>
        <w:t>6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hAnsi="Times New Roman" w:eastAsia="Times New Roman"/>
          <w:color w:val="231F20"/>
          <w:spacing w:val="-36"/>
          <w:w w:val="99"/>
          <w:sz w:val="16"/>
        </w:rPr>
        <w:t>4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spacing w:val="-80"/>
          <w:w w:val="99"/>
          <w:sz w:val="16"/>
        </w:rPr>
        <w:t>：</w:t>
      </w:r>
      <w:r>
        <w:rPr>
          <w:rFonts w:ascii="Times New Roman" w:hAnsi="Times New Roman" w:eastAsia="Times New Roman"/>
          <w:color w:val="231F20"/>
          <w:w w:val="99"/>
          <w:sz w:val="16"/>
        </w:rPr>
        <w:t>280.</w:t>
      </w: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0" w:lineRule="auto" w:before="78" w:after="0"/>
        <w:ind w:left="300" w:right="0" w:hanging="189"/>
        <w:jc w:val="left"/>
        <w:rPr>
          <w:sz w:val="16"/>
        </w:rPr>
      </w:pPr>
      <w:r>
        <w:rPr>
          <w:color w:val="231F20"/>
          <w:spacing w:val="3"/>
          <w:sz w:val="16"/>
        </w:rPr>
        <w:t>王小伟</w:t>
      </w:r>
      <w:r>
        <w:rPr>
          <w:rFonts w:ascii="Times New Roman" w:eastAsia="Times New Roman"/>
          <w:color w:val="231F20"/>
          <w:sz w:val="16"/>
        </w:rPr>
        <w:t>.</w:t>
      </w:r>
      <w:r>
        <w:rPr>
          <w:color w:val="231F20"/>
          <w:spacing w:val="4"/>
          <w:sz w:val="16"/>
        </w:rPr>
        <w:t>从课程标准的变化看小学数学解方程教学</w:t>
      </w:r>
      <w:r>
        <w:rPr>
          <w:rFonts w:ascii="Times New Roman" w:eastAsia="Times New Roman"/>
          <w:color w:val="231F20"/>
          <w:sz w:val="16"/>
        </w:rPr>
        <w:t>[J].</w:t>
      </w:r>
      <w:r>
        <w:rPr>
          <w:color w:val="231F20"/>
          <w:spacing w:val="4"/>
          <w:sz w:val="16"/>
        </w:rPr>
        <w:t>河南教育：</w:t>
      </w:r>
    </w:p>
    <w:p>
      <w:pPr>
        <w:tabs>
          <w:tab w:pos="3229" w:val="left" w:leader="none"/>
        </w:tabs>
        <w:spacing w:before="78"/>
        <w:ind w:left="112" w:right="0" w:firstLine="0"/>
        <w:jc w:val="left"/>
        <w:rPr>
          <w:sz w:val="18"/>
        </w:rPr>
      </w:pPr>
      <w:r>
        <w:rPr>
          <w:color w:val="231F20"/>
          <w:w w:val="99"/>
          <w:sz w:val="16"/>
        </w:rPr>
        <w:t>基础版</w:t>
      </w:r>
      <w:r>
        <w:rPr>
          <w:color w:val="231F20"/>
          <w:spacing w:val="-80"/>
          <w:w w:val="99"/>
          <w:sz w:val="16"/>
        </w:rPr>
        <w:t>，</w:t>
      </w:r>
      <w:r>
        <w:rPr>
          <w:rFonts w:ascii="Times New Roman" w:eastAsia="Times New Roman"/>
          <w:color w:val="231F20"/>
          <w:w w:val="99"/>
          <w:sz w:val="16"/>
        </w:rPr>
        <w:t>201</w:t>
      </w:r>
      <w:r>
        <w:rPr>
          <w:rFonts w:ascii="Times New Roman" w:eastAsia="Times New Roman"/>
          <w:color w:val="231F20"/>
          <w:spacing w:val="-59"/>
          <w:w w:val="99"/>
          <w:sz w:val="16"/>
        </w:rPr>
        <w:t>3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eastAsia="Times New Roman"/>
          <w:color w:val="231F20"/>
          <w:spacing w:val="-36"/>
          <w:w w:val="99"/>
          <w:sz w:val="16"/>
        </w:rPr>
        <w:t>9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spacing w:val="-80"/>
          <w:w w:val="99"/>
          <w:sz w:val="16"/>
        </w:rPr>
        <w:t>：</w:t>
      </w:r>
      <w:r>
        <w:rPr>
          <w:rFonts w:ascii="Times New Roman" w:eastAsia="Times New Roman"/>
          <w:color w:val="231F20"/>
          <w:w w:val="99"/>
          <w:sz w:val="16"/>
        </w:rPr>
        <w:t>53.</w:t>
      </w:r>
      <w:r>
        <w:rPr>
          <w:rFonts w:ascii="Times New Roman" w:eastAsia="Times New Roman"/>
          <w:color w:val="231F20"/>
          <w:sz w:val="16"/>
        </w:rPr>
        <w:tab/>
      </w:r>
      <w:r>
        <w:rPr>
          <w:color w:val="231F20"/>
          <w:spacing w:val="-1"/>
          <w:w w:val="54"/>
          <w:sz w:val="18"/>
        </w:rPr>
        <w:t>[</w:t>
      </w:r>
      <w:r>
        <w:rPr>
          <w:color w:val="231F20"/>
          <w:w w:val="99"/>
          <w:sz w:val="18"/>
        </w:rPr>
        <w:t>责任编辑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 </w:t>
      </w:r>
      <w:r>
        <w:rPr>
          <w:color w:val="231F20"/>
          <w:w w:val="99"/>
          <w:sz w:val="18"/>
        </w:rPr>
        <w:t>谷会巧</w:t>
      </w:r>
      <w:r>
        <w:rPr>
          <w:color w:val="231F20"/>
          <w:w w:val="54"/>
          <w:sz w:val="18"/>
        </w:rPr>
        <w:t>]</w:t>
      </w:r>
    </w:p>
    <w:p>
      <w:pPr>
        <w:pStyle w:val="BodyText"/>
        <w:spacing w:before="12"/>
        <w:rPr>
          <w:sz w:val="13"/>
        </w:rPr>
      </w:pPr>
      <w:r>
        <w:rPr/>
        <w:pict>
          <v:line style="position:absolute;mso-position-horizontal-relative:page;mso-position-vertical-relative:paragraph;z-index:-251652096;mso-wrap-distance-left:0;mso-wrap-distance-right:0" from="315.5pt,11.055341pt" to="547.299988pt,11.055341pt" stroked="true" strokeweight=".300004pt" strokecolor="#231f20">
            <v:stroke dashstyle="solid"/>
            <w10:wrap type="topAndBottom"/>
          </v:line>
        </w:pict>
      </w:r>
    </w:p>
    <w:p>
      <w:pPr>
        <w:spacing w:line="338" w:lineRule="auto" w:before="118"/>
        <w:ind w:left="112" w:right="361" w:firstLine="0"/>
        <w:jc w:val="left"/>
        <w:rPr>
          <w:sz w:val="16"/>
        </w:rPr>
      </w:pPr>
      <w:r>
        <w:rPr>
          <w:color w:val="231F20"/>
          <w:spacing w:val="-18"/>
          <w:w w:val="99"/>
          <w:sz w:val="16"/>
        </w:rPr>
        <w:t>作者简介：廖丽才</w:t>
      </w:r>
      <w:r>
        <w:rPr>
          <w:color w:val="231F20"/>
          <w:spacing w:val="-22"/>
          <w:w w:val="99"/>
          <w:sz w:val="16"/>
        </w:rPr>
        <w:t>（</w:t>
      </w:r>
      <w:r>
        <w:rPr>
          <w:rFonts w:ascii="Times New Roman" w:hAnsi="Times New Roman" w:eastAsia="Times New Roman"/>
          <w:color w:val="231F20"/>
          <w:w w:val="99"/>
          <w:sz w:val="16"/>
        </w:rPr>
        <w:t>1976</w:t>
      </w:r>
      <w:r>
        <w:rPr>
          <w:rFonts w:ascii="Times New Roman" w:hAnsi="Times New Roman" w:eastAsia="Times New Roman"/>
          <w:color w:val="231F20"/>
          <w:spacing w:val="-1"/>
          <w:w w:val="99"/>
          <w:sz w:val="16"/>
        </w:rPr>
        <w:t>.5</w:t>
      </w:r>
      <w:r>
        <w:rPr>
          <w:color w:val="231F20"/>
          <w:spacing w:val="3"/>
          <w:w w:val="99"/>
          <w:sz w:val="16"/>
        </w:rPr>
        <w:t>—</w:t>
      </w:r>
      <w:r>
        <w:rPr>
          <w:color w:val="231F20"/>
          <w:spacing w:val="-45"/>
          <w:w w:val="99"/>
          <w:sz w:val="16"/>
        </w:rPr>
        <w:t>）</w:t>
      </w:r>
      <w:r>
        <w:rPr>
          <w:color w:val="231F20"/>
          <w:spacing w:val="-25"/>
          <w:w w:val="99"/>
          <w:sz w:val="16"/>
        </w:rPr>
        <w:t>，女，汉族，福建龙岩人，一级教师，研究</w:t>
      </w:r>
      <w:r>
        <w:rPr>
          <w:color w:val="231F20"/>
          <w:spacing w:val="-12"/>
          <w:sz w:val="16"/>
        </w:rPr>
        <w:t>方向：农村小学生数学应用意识的培养与研究。</w:t>
      </w:r>
    </w:p>
    <w:sectPr>
      <w:pgSz w:w="12250" w:h="17180"/>
      <w:pgMar w:header="0" w:footer="715" w:top="1400" w:bottom="900" w:left="1020" w:right="940"/>
      <w:cols w:num="2" w:equalWidth="0">
        <w:col w:w="4884" w:space="282"/>
        <w:col w:w="51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00544">
          <wp:simplePos x="0" y="0"/>
          <wp:positionH relativeFrom="page">
            <wp:posOffset>259079</wp:posOffset>
          </wp:positionH>
          <wp:positionV relativeFrom="page">
            <wp:posOffset>10558779</wp:posOffset>
          </wp:positionV>
          <wp:extent cx="3738880" cy="12318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880" cy="123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318.200012pt;margin-top:831.399963pt;width:81.1pt;height:9.7pt;mso-position-horizontal-relative:page;mso-position-vertical-relative:page;z-index:-251814912" coordorigin="6364,16628" coordsize="1622,194">
          <v:shape style="position:absolute;left:6364;top:16628;width:1584;height:194" type="#_x0000_t75" stroked="false">
            <v:imagedata r:id="rId2" o:title=""/>
          </v:shape>
          <v:shape style="position:absolute;left:7962;top:16754;width:24;height:24" coordorigin="7962,16754" coordsize="24,24" path="m7978,16754l7972,16754,7968,16756,7964,16760,7962,16764,7962,16770,7964,16772,7966,16776,7968,16778,7980,16778,7984,16776,7986,16772,7986,16760,7984,16758,7980,16756,7978,16754xe" filled="true" fillcolor="#b2b2b2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251502592">
          <wp:simplePos x="0" y="0"/>
          <wp:positionH relativeFrom="page">
            <wp:posOffset>5215890</wp:posOffset>
          </wp:positionH>
          <wp:positionV relativeFrom="page">
            <wp:posOffset>10558779</wp:posOffset>
          </wp:positionV>
          <wp:extent cx="1082039" cy="123189"/>
          <wp:effectExtent l="0" t="0" r="0" b="0"/>
          <wp:wrapNone/>
          <wp:docPr id="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82039" cy="123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497498pt;margin-top:812.06543pt;width:31.7pt;height:12.5pt;mso-position-horizontal-relative:page;mso-position-vertical-relative:page;z-index:-251812864" type="#_x0000_t202" filled="false" stroked="false">
          <v:textbox inset="0,0,0,0">
            <w:txbxContent>
              <w:p>
                <w:pPr>
                  <w:spacing w:line="250" w:lineRule="exact" w:before="0"/>
                  <w:ind w:left="20" w:right="0" w:firstLine="0"/>
                  <w:jc w:val="left"/>
                  <w:rPr>
                    <w:rFonts w:ascii="Lucida Sans Unicode"/>
                    <w:sz w:val="21"/>
                  </w:rPr>
                </w:pPr>
                <w:r>
                  <w:rPr>
                    <w:rFonts w:ascii="Lucida Sans Unicode"/>
                    <w:color w:val="231F20"/>
                    <w:w w:val="110"/>
                    <w:sz w:val="21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w w:val="110"/>
                    <w:position w:val="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w w:val="110"/>
                    <w:position w:val="1"/>
                    <w:sz w:val="18"/>
                  </w:rPr>
                  <w:t> </w:t>
                </w:r>
                <w:r>
                  <w:rPr>
                    <w:rFonts w:ascii="Lucida Sans Unicode"/>
                    <w:color w:val="231F20"/>
                    <w:w w:val="110"/>
                    <w:sz w:val="21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112" w:hanging="189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99"/>
        <w:sz w:val="14"/>
        <w:szCs w:val="1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619" w:hanging="18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19" w:hanging="18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619" w:hanging="18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119" w:hanging="18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618" w:hanging="18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118" w:hanging="18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618" w:hanging="18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4118" w:hanging="18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339" w:hanging="189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99"/>
        <w:sz w:val="14"/>
        <w:szCs w:val="1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23" w:hanging="18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307" w:hanging="18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91" w:hanging="18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275" w:hanging="18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59" w:hanging="18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242" w:hanging="18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726" w:hanging="18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4210" w:hanging="18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3" w:hanging="135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07" w:hanging="13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34" w:hanging="13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061" w:hanging="13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488" w:hanging="13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915" w:hanging="13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342" w:hanging="13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769" w:hanging="13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4196" w:hanging="135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18"/>
      <w:szCs w:val="18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5"/>
      <w:ind w:left="112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dcterms:created xsi:type="dcterms:W3CDTF">2019-05-20T06:54:31Z</dcterms:created>
  <dcterms:modified xsi:type="dcterms:W3CDTF">2019-05-20T06:54:31Z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ReaderEx_DIS 2.1.0 Build 3966</vt:lpwstr>
  </property>
  <property fmtid="{D5CDD505-2E9C-101B-9397-08002B2CF9AE}" pid="4" name="LastSaved">
    <vt:filetime>2019-04-18T00:00:00Z</vt:filetime>
  </property>
</Properties>
</file>